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31"/>
        <w:gridCol w:w="2974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5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63360-04-21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סעד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535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57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47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6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535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מוניר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ראיד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רחאל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בכיר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ליאור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דוידי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מיתר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לוגסי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sz w:val="26"/>
          <w:sz w:val="26"/>
          <w:szCs w:val="26"/>
          <w:rtl w:val="true"/>
        </w:rPr>
        <w:t>הנאשם הודה במסגרת הסדר שלא כלל הסדר אודות העונש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בביצוע עבירות 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נשיאה והובלה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5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וסיפא ל</w:t>
      </w:r>
      <w:hyperlink r:id="rId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ואיומים לפי </w:t>
      </w:r>
      <w:hyperlink r:id="rId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192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יצוין שכתב האישום המקורי כלל גם עבירות נשק מסוג החזקה ועבירה נוספת של איומים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על פי האמור בכתב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13.4.21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החזיק והוביל הנאשם תת מקלע מאולתר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מחסנית שבה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כדורים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מ ורימון הלם סינוור </w:t>
      </w:r>
      <w:r>
        <w:rPr>
          <w:rFonts w:cs="David" w:ascii="David" w:hAnsi="David"/>
          <w:sz w:val="26"/>
          <w:szCs w:val="26"/>
        </w:rPr>
        <w:t>M7920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רשות על פי 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לשעה </w:t>
      </w:r>
      <w:r>
        <w:rPr>
          <w:rFonts w:cs="David" w:ascii="David" w:hAnsi="David"/>
          <w:sz w:val="26"/>
          <w:szCs w:val="26"/>
        </w:rPr>
        <w:t>12:00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יצא הנאשם מבית הוריו בכפר עראמשה כשהוא מחזיק תיק גב שבתוכו הנשק שתואר לעיל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באותה עת הגיעו בסמוך לבית שוטרים שהבחינו בו כשהוא יוצא בריצה מהירה בחצר הבית והם רדפו אחריו עד שהוא נכנס לאתר בניה ונפל על הקרקע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המקלע נמצא כשהוא עטוף בחולצת בד בצבע ורוד ולידו המחסנית והתחמושת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וכמו כן נמצא הרימון שהיה עטוף בניילון נצמד בתוך שקית ניילון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נעצר והובא לתחנה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שם איים על אחד השוטרים ששמר עליו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ובהמשך על איים על שוטר נוסף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לנאשם עבר פלילי שהתיישן של עבירה של תקיפה סתם משנת </w:t>
      </w:r>
      <w:r>
        <w:rPr>
          <w:rFonts w:cs="David" w:ascii="David" w:hAnsi="David"/>
          <w:sz w:val="26"/>
          <w:szCs w:val="26"/>
        </w:rPr>
        <w:t>2007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והיזק לרכוש במזיד משנת </w:t>
      </w:r>
      <w:r>
        <w:rPr>
          <w:rFonts w:cs="David" w:ascii="David" w:hAnsi="David"/>
          <w:sz w:val="26"/>
          <w:szCs w:val="26"/>
        </w:rPr>
        <w:t>2008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בטיעונים לעונש העידו לטובת הנאשם שני עדים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אורי נחמיה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שהוא היום מנהל הישוב עראמשה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שמכיר את הנאשם באופן אישי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סיפר שהנאשם היה אדם נורמטיבי ולא בעל קווים עברייניים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עדי שני היה מדחת מג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יס שמכיר את הנאשם מילדות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תיאר אותו כאדם טוב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 עבריין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שמתחרט על מעשיו ותיאר גם שהיה איש צבא עד שנפצע בצורה קשה בידיו מרסיס כתוצאה מפיצוץ מוקש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המדינה טענה למתחם ענישה הולם שבין </w:t>
      </w:r>
      <w:r>
        <w:rPr>
          <w:rFonts w:cs="David" w:ascii="David" w:hAnsi="David"/>
          <w:sz w:val="26"/>
          <w:szCs w:val="26"/>
        </w:rPr>
        <w:t>3.5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שנפגע הערך החברתי המוגן של שמירת שלום הציבור והגנה על חיי 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שעבירות הנשק מביאות לזמינות נשק שעובר מיד ליד ומגדיל את מעגל האלימות בחברה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צוינה פגיעה בשלטון החוק ובנציגיו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שהמציאות בארץ כיום מחייבת מתן ביטוי עונשי הולם בשל המסוכנות הגלומה בעבירות הנשק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ביחס למדיניות הענישה צוינו המקרים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6021/21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עלי עבוד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19.12.21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נידון ערעורו של נאשם נעדר עבר פלילי בגין נשיאת </w:t>
      </w:r>
      <w:r>
        <w:rPr>
          <w:rFonts w:cs="David" w:ascii="David" w:hAnsi="David"/>
          <w:sz w:val="26"/>
          <w:szCs w:val="26"/>
        </w:rPr>
        <w:t>M16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והפרעה לשוטר אשר נידון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לא התערב בתוצאה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צוין שצו השעה להחמיר בענישה לגבי עבירות הנשק כאשר פגיעתן של עבירות אלה היא בציבור בכללותו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לא הייתה מחלוקת שהנאשם לא היה זה שירה בנשק ורק הוביל אותו לפרק זמן קצר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שוטרים קיבלו הודעה על ירי בחורשה והבחינו במערער כשהוא אוחז בנשק והחל לברוח מהם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והמשיך לברוח למרות שקראו לו לעצור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1509/20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ראפת נבארי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2.7.20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ערעורה המדינה על קולת העונש שהושת על המשיב של </w:t>
      </w: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לאחר שהורשע על יסוד הודאתו בעבירות של נשיאה והובלה של נשק ובירי בנשק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למשיב היו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הרשעות קודמות בעבירות אלימות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החזקת סכין והפרעה לשוטר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בתסקיר הוערך קיום רמת סיכון בינונית להישנות מעשים אלימים והוא היה מכור לאלכוהול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הערכאה הדיונית השיתה עליו </w:t>
      </w: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שהוחמרו בבית המשפט העליון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54607-07-19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יעקוב 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12.1.20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הורשע  נאשם במסגרת הסדר דיון בהחזקת נשק ואביזר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M16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ומחסנית ריקה ונידון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לנאשם היו הרשעות קודמות שאחת מהן התיישנה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הוגש תסקיר שלילי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שבין </w:t>
      </w:r>
      <w:r>
        <w:rPr>
          <w:rFonts w:cs="David" w:ascii="David" w:hAnsi="David"/>
          <w:sz w:val="26"/>
          <w:szCs w:val="26"/>
        </w:rPr>
        <w:t>20-30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ונגזרו עליו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579/21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עאמר אמג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3.11.21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הורשע הנאשם במסגרת הסדר טיעון בעבירות של נשיאה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הובלה והחזקת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אביזרים ותחמושת והחזקת סם מסוכן שלא לצריכה עצמית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לכלל העבירות בין </w:t>
      </w:r>
      <w:r>
        <w:rPr>
          <w:rFonts w:cs="David" w:ascii="David" w:hAnsi="David"/>
          <w:sz w:val="26"/>
          <w:szCs w:val="26"/>
        </w:rPr>
        <w:t>2-4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והנאשם נידון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העליון התערב מטעמי אחידות הענישה לאור עונשו של השותף והעמיד את העונש על </w:t>
      </w:r>
      <w:r>
        <w:rPr>
          <w:rFonts w:cs="David" w:ascii="David" w:hAnsi="David"/>
          <w:sz w:val="26"/>
          <w:szCs w:val="26"/>
        </w:rPr>
        <w:t>31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במקרה דנן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המדינה ביקשה מאסר בפועל שייקבע במחצית הראשונה של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מאסר מותנה מרתיע וקנס כספי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טיעונים לעונש מטעם ההגנה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הסנגור טען שהאירועים מהווים אירוע אחד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עמדה שהמדינה לא חלקה עליה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לעניין הערך החברתי שנפגע נטען שמדובר בפגיעה בשלום הציבור ובתחושת ביטחונו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נטען שמדובר בטעות בשיקול דעת ללא מחשבה מתוכננת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שרמת הפגיעה בערכים הייתה נמוכה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הוסף שהנאשם עשה ככל שיכל על מנת לתקן את מעשיו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נטל אחריות והביע חרטה והבין את חומרת מעשיו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לעניין הנסיבות נטען שלא היה תחכום או תכנון מאחורי הפעולה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שלא נגרם נזק בפועל כתוצאה מביצוע העבירה ושהסיבות שהביאו את הנאשם לבצע את העבירה היו מצב נפשי ירוד ומעורער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באשר למדינות הענישה אוזכרו מספר פסקי דין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3336/18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הישאם סמארה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29.11.18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הגישה המדינה ערעור על גזר דינו של בית המשפט המחוזי בו הורשע הנאשם על פי הודאתו בעבירות של נשיאת נשק ותחמושת והחזקת תחמושת ונגזרו עליו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מקרה הנאשם נצפה נוסע ברכב עם שני אנשים נוספים כאשר כרזו לו לעצור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ברכב נמצאו שני כלי נשק מסוג קרל גוסטאב עם מחסניות בתוכם ונתפס קרטון שהכיל </w:t>
      </w:r>
      <w:r>
        <w:rPr>
          <w:rFonts w:cs="David" w:ascii="David" w:hAnsi="David"/>
          <w:sz w:val="26"/>
          <w:szCs w:val="26"/>
        </w:rPr>
        <w:t>39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כדורי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 נוספים בתוך גרב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אותו נאשם היה בן </w:t>
      </w:r>
      <w:r>
        <w:rPr>
          <w:rFonts w:cs="David" w:ascii="David" w:hAnsi="David"/>
          <w:sz w:val="26"/>
          <w:szCs w:val="26"/>
        </w:rPr>
        <w:t>55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וריצה מאסרים בעברו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כשהשתחרר בגיל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החליט לערוך בחייו וניתק קשרים עברייניים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בתסקיר הוערכה רמת סיכון נמוכה והומלץ על עבודות שירות וצו מבחן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התערב בתוצאה והחמיר את הענישה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מפאת חומרת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ובין היתר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כשמדובר בשני כלי נשק וסירוב לעצור עת שהשוטרים הורו לו וכיוון שלא ניתן הסבר מספק למטרת החזקת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זאת על אף תהליך השיקום שהנאשם עבר קודם לכן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28615-08-17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פארס חמדוני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23.4.18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שם הורשע הנאשם על פי הודאתו בעבירות נשק של החזקה ונשיאה ועבירת הפרעה לשוטר במילוי תפקידו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החזיק  תת מקלע מאולתר ובתוכו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כדורים וקופסה בה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 ורימון יד מסוג הלם סנוור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החזיק את הנשק בתוך תיק שהושם בפח אשפה במקום בו שהה וכשהבחין בניידת שהתקרבה למקום ברח עם התכולה עד שנתפס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קבע שלצד מקרים מעטים בהם נגזרו בגין עבירות נשק חודשי מאסר בודדים ישנם מקרים אחרים בהם נגזרו תקופות מאסר שנעות בין </w:t>
      </w:r>
      <w:r>
        <w:rPr>
          <w:rFonts w:cs="David" w:ascii="David" w:hAnsi="David"/>
          <w:sz w:val="26"/>
          <w:szCs w:val="26"/>
        </w:rPr>
        <w:t>20-34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שבין </w:t>
      </w:r>
      <w:r>
        <w:rPr>
          <w:rFonts w:cs="David" w:ascii="David" w:hAnsi="David"/>
          <w:sz w:val="26"/>
          <w:szCs w:val="26"/>
        </w:rPr>
        <w:t>16-40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ונגזרו על הנאשם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היה מדובר בנאשם צעיר בעל עבר פלילי משמעותי ובנוסף בעל הרשעות בתחום התעבורה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3619/21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אבו הלאל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26.5.21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הורשעו המערערים על פי הודאתם בעבירות של החזקת נשק ותחמושת שלא כדין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בגין החזקת שני כלי נשק מאולתרים מסוג קרלו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מחסניות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כדור תחמושת המשמש נשק ארוך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נוכח שיקולי שיקום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קבע בית משפט השלום שיש לסטות לקולא ממתחם העונש והשית על הנאשמים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לריצוי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בערעור נגזר על הנאשמים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ורשות הערעור נדחתה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24171-06-19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אזי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3.10.19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ללא עבר פלילי הורשע בעבירות של החזקת אקדח ותחמושת ובהפרעה לשוטר במילוי תפקידו לאחר שנתפס נושא על קטנוע כשהוא מחזיק על גופו אקדח ובו משולבת מחסנית עם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שבין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והוטלו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4978/19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אבו מנסור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28.1.20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באותו מקרה נמצא רובה סער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שתי מחסניות מלאות ושתי מחסניות מתאימות לאקדח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שלושה כדורים ומכלול לנשק בתוך רכבם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מערער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בעבירה של נשיאה והובלה ומערער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בהחזקת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בבית המשפט המחוזי נידון הראשון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ואילו השני נידון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לריצוי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בבית המשפט העליון הוקל עונשו של המערער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והועמד על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ולגבי הנאשם השני הועמד העונש של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hyperlink r:id="rId1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2990-09-21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ביאדסה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2.12.21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שם בגין החזקה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נשיאה והובלת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שני כלי נשק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קלצ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ניקוב ואקדח חצי אוטומטי עם תחמושת תואמת לכל אחד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הוטלו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מתוך מתחם שנקבע שנע בין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54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שבמקרה דנן מדובר באדם צעיר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אב לילד קטן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ששירת שירות משמעותי בצה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 ללא עבר פלילי ושהמעצר היווה גורם מרתיע עבורו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שהנאשם בעל מוטיבציה גבוהה לשנות אורח חייו ושענישה מחמירה תחסום אפיק זה ותחשוף אותו לעולם עברייני ממנו הוא מעוניין להתרחק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 נטען שהנאשם נטל אחריות בשלב מוקדם של ההליך והוא מביע צער רב על מעשיו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הוספו טענות באשר לחריגה ממתחם הענישה ובסופו של עניין נטען שיש לחרוג ממתחם הענישה ולשים את הדגש על שיקולי השיקום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יוער שבדיון חזר הסנגור מקו טיעון זה במידה מסוימת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במהלך הטיעונים לעונש הוגש מסמך מטעם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 שתיאר שהנאשם שולב בקבוצה טיפולית במסגרת מעצרו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הוזכר עוד שהנאשם נפצע בשנת </w:t>
      </w:r>
      <w:r>
        <w:rPr>
          <w:rFonts w:cs="David" w:ascii="David" w:hAnsi="David"/>
          <w:sz w:val="26"/>
          <w:szCs w:val="26"/>
        </w:rPr>
        <w:t>2002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בשירות הסדיר והוא נכה בשיעור של </w:t>
      </w:r>
      <w:r>
        <w:rPr>
          <w:rFonts w:cs="David" w:ascii="David" w:hAnsi="David"/>
          <w:sz w:val="26"/>
          <w:szCs w:val="26"/>
        </w:rPr>
        <w:t>50%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הפציעה מלווה אותו עד היום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הביע צער על מעשיו וציין שפגע  בעצמו ובמשפחתו וביקש שלא להחמיר בעונשו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יליד </w:t>
      </w:r>
      <w:r>
        <w:rPr>
          <w:rFonts w:cs="David" w:ascii="David" w:hAnsi="David"/>
          <w:sz w:val="26"/>
          <w:szCs w:val="26"/>
        </w:rPr>
        <w:t>1980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כבן </w:t>
      </w:r>
      <w:r>
        <w:rPr>
          <w:rFonts w:cs="David" w:ascii="David" w:hAnsi="David"/>
          <w:sz w:val="26"/>
          <w:szCs w:val="26"/>
        </w:rPr>
        <w:t>41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כיום ועצור מיום </w:t>
      </w:r>
      <w:r>
        <w:rPr>
          <w:rFonts w:cs="David" w:ascii="David" w:hAnsi="David"/>
          <w:sz w:val="26"/>
          <w:szCs w:val="26"/>
        </w:rPr>
        <w:t>13.4.21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הערכים החברתיים המוגנים שנפגעו היו שמירה על שלום הציבור וביטחונו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לאור העובדה שמדובר בעבירות נשק יש לקבוע כי מדובר בפגיעה לכל הפחות ברף הבינוני של הערכים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באשר לתכנון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אומנם הנאשם יצא מביתו כאשר הנשק ארוז בתוך תיק אך לא התבררה תכלית היציאה ועל כן אין זה ברור מידת התכנון שקשורה בעבירות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עם זאת הנאשם הוא אדם בגיר כבן </w:t>
      </w:r>
      <w:r>
        <w:rPr>
          <w:rFonts w:cs="David" w:ascii="David" w:hAnsi="David"/>
          <w:sz w:val="26"/>
          <w:szCs w:val="26"/>
        </w:rPr>
        <w:t>41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והיה צריך לדעת את הפסול שבמעשיו ולהימנע מהם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לנאשם אין עבר פלילי מכביד ונראה שהוא עושה מהלכים ראשוניים במסגרת מעצרו לצרכי שיקום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בהתבסס על הפסיקה שאוזכרה לעיל והצורך בהחמרת הענישה יש לקבוע מתחם ענישה שבין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בתוך המתחם יש להתחשב בעובדה שלנאשם אין עבר פלילי מכביד ובנוסף בהודאתו שנראית על פניה ככנה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ובנוסף על כך נטילת האחריות וההודאה בשלב מוקדם של ההליך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אשר על כן אני מטיל על הנאשם את העונשים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בפועל מהם תנוכה תקופה מעצרו החל מיום </w:t>
      </w:r>
      <w:r>
        <w:rPr>
          <w:rFonts w:cs="David" w:ascii="David" w:hAnsi="David"/>
          <w:sz w:val="26"/>
          <w:szCs w:val="26"/>
        </w:rPr>
        <w:t>13.4.21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מאסר על תנאי לתקופה של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התנאי יופעל במידה והנאשם יבצע עבירות אלימות או נשק מסוג פשע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קנס בסך </w:t>
      </w:r>
      <w:r>
        <w:rPr>
          <w:rFonts w:cs="David" w:ascii="David" w:hAnsi="David"/>
          <w:sz w:val="26"/>
          <w:szCs w:val="26"/>
        </w:rPr>
        <w:t>3,500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תשלום עד ליום </w:t>
      </w:r>
      <w:r>
        <w:rPr>
          <w:rFonts w:cs="David" w:ascii="David" w:hAnsi="David"/>
          <w:sz w:val="26"/>
          <w:szCs w:val="26"/>
        </w:rPr>
        <w:t>1.5.22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sz w:val="26"/>
          <w:szCs w:val="26"/>
          <w:u w:val="single"/>
        </w:rPr>
        <w:t>45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יום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2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שבט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ינואר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בהעדר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63360-04-21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מוניר סעד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case/27911655" TargetMode="External"/><Relationship Id="rId9" Type="http://schemas.openxmlformats.org/officeDocument/2006/relationships/hyperlink" Target="http://www.nevo.co.il/case/26492590" TargetMode="External"/><Relationship Id="rId10" Type="http://schemas.openxmlformats.org/officeDocument/2006/relationships/hyperlink" Target="http://www.nevo.co.il/case/25890687" TargetMode="External"/><Relationship Id="rId11" Type="http://schemas.openxmlformats.org/officeDocument/2006/relationships/hyperlink" Target="http://www.nevo.co.il/case/27355028" TargetMode="External"/><Relationship Id="rId12" Type="http://schemas.openxmlformats.org/officeDocument/2006/relationships/hyperlink" Target="http://www.nevo.co.il/case/24140726" TargetMode="External"/><Relationship Id="rId13" Type="http://schemas.openxmlformats.org/officeDocument/2006/relationships/hyperlink" Target="http://www.nevo.co.il/case/22916210" TargetMode="External"/><Relationship Id="rId14" Type="http://schemas.openxmlformats.org/officeDocument/2006/relationships/hyperlink" Target="http://www.nevo.co.il/case/27648787" TargetMode="External"/><Relationship Id="rId15" Type="http://schemas.openxmlformats.org/officeDocument/2006/relationships/hyperlink" Target="http://www.nevo.co.il/case/25773442" TargetMode="External"/><Relationship Id="rId16" Type="http://schemas.openxmlformats.org/officeDocument/2006/relationships/hyperlink" Target="http://www.nevo.co.il/case/25892549" TargetMode="External"/><Relationship Id="rId17" Type="http://schemas.openxmlformats.org/officeDocument/2006/relationships/hyperlink" Target="http://www.nevo.co.il/case/27909787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2023-05-08T09:10:00Z</dcterms:created>
  <dc:creator> </dc:creator>
  <dc:description/>
  <cp:keywords/>
  <dc:language>en-IL</dc:language>
  <cp:lastModifiedBy>h1</cp:lastModifiedBy>
  <dcterms:modified xsi:type="dcterms:W3CDTF">2023-05-08T09:10:00Z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מוניר סעד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27911655;26492590;25890687;27355028;24140726;22916210;27648787;25773442;25892549;27909787</vt:lpwstr>
  </property>
  <property fmtid="{D5CDD505-2E9C-101B-9397-08002B2CF9AE}" pid="9" name="CITY">
    <vt:lpwstr>חי'</vt:lpwstr>
  </property>
  <property fmtid="{D5CDD505-2E9C-101B-9397-08002B2CF9AE}" pid="10" name="DATE">
    <vt:lpwstr>20220104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70301/144.b;192</vt:lpwstr>
  </property>
  <property fmtid="{D5CDD505-2E9C-101B-9397-08002B2CF9AE}" pid="15" name="LAWYER">
    <vt:lpwstr>ראיד רחאל ס' ;ליאור דוידי ;מיתר לוגסי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63360</vt:lpwstr>
  </property>
  <property fmtid="{D5CDD505-2E9C-101B-9397-08002B2CF9AE}" pid="22" name="NEWPARTB">
    <vt:lpwstr>04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390020220104</vt:lpwstr>
  </property>
  <property fmtid="{D5CDD505-2E9C-101B-9397-08002B2CF9AE}" pid="34" name="TYPE_N_DATE">
    <vt:lpwstr>39020220104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