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64156-03-23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דוירי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סאמר דוירי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 w:eastAsia="Calibri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eastAsia="Calibri"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  <w:bookmarkStart w:id="6" w:name="ABSTRACT_START"/>
      <w:bookmarkEnd w:id="6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הנאשם הודה במסגרת הסדר טיעון בכתב אישום מתוקן המכיל שני אישומים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ascii="David" w:hAnsi="David"/>
          <w:u w:val="single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החזקת נשק – עבירה 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החזק</w:t>
      </w:r>
      <w:r>
        <w:rPr>
          <w:rFonts w:ascii="David" w:hAnsi="David"/>
          <w:rtl w:val="true"/>
        </w:rPr>
        <w:t>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3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חבלה חמורה בנסיבות מחמירות – עבירה 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333</w:t>
        </w:r>
      </w:hyperlink>
      <w:r>
        <w:rPr>
          <w:rFonts w:cs="David" w:ascii="David" w:hAnsi="David"/>
          <w:rtl w:val="true"/>
        </w:rPr>
        <w:t xml:space="preserve"> + </w:t>
      </w:r>
      <w:hyperlink r:id="rId16">
        <w:r>
          <w:rPr>
            <w:rStyle w:val="Hyperlink"/>
            <w:rFonts w:cs="David" w:ascii="David" w:hAnsi="David"/>
            <w:color w:val="0000FF"/>
          </w:rPr>
          <w:t>335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ירי באזור מגורים – עבירה 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עבירה של שינוי זהות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413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  <w:bookmarkStart w:id="7" w:name="ABSTRACT_END"/>
      <w:bookmarkStart w:id="8" w:name="ABSTRACT_END"/>
      <w:bookmarkEnd w:id="8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הגיעו להסדר טיעון לפיו יוטלו על הנאשם העונשים הבאים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בניכוי ימי מעצרו בתיק זה מיום </w:t>
      </w:r>
      <w:r>
        <w:rPr>
          <w:rFonts w:cs="David" w:ascii="David" w:hAnsi="David"/>
        </w:rPr>
        <w:t>23.02.23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במצטבר לכל עונש מאסר בפועל שהוטל עליו בהליך 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אם נשא בו במהלך תקופת מעצרו בתיק זה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פיצויי 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שלהטלתו ההגנה תתנגד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וחילוט הרכב בו בוצעו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 כתב האישום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אישום ראשון</w:t>
      </w:r>
      <w:r>
        <w:rPr>
          <w:rFonts w:eastAsia="Calibri" w:cs="David" w:ascii="David" w:hAnsi="David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במועדים הרלוונטיים לכתב האישום הייתה בבעלותו של הנאשם דירה בקומה השלישית בבניין מגורים השייך לו ולאחיו בשכונה המזרחית ביישוב דייר חנא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הבית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עובר לתאריך </w:t>
      </w:r>
      <w:r>
        <w:rPr>
          <w:rFonts w:eastAsia="Calibri" w:cs="David" w:ascii="David" w:hAnsi="David"/>
        </w:rPr>
        <w:t>20/2/23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הנאשם בחדר שבבית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בתוך קופת קרטון של חברת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בזק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אקדח הזנקה חצי אוטומטי  </w:t>
      </w:r>
      <w:r>
        <w:rPr>
          <w:rFonts w:eastAsia="Calibri" w:cs="David" w:ascii="David" w:hAnsi="David"/>
        </w:rPr>
        <w:t>KUZEY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אשר הוסב לירי תחמושת קליעית בקליבר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פאראבלום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האקדח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טעון במחסנית תואמת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המחסנית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טעונה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פאראבלום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פאראבלום בתפזורת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פאראבלום מונחים במתקן כדורים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הכדורים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וזאת בלא רשות על פי דין להחזקתם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האקדח הנו כלי נשק שסוגל לירות כדור ושבכוחו להמית אדם ומהווה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מהווה אביזר לנשק והכדורים מהווים תחמושת 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כולם יחדיו מהווים נשק כהגדרתו בחוק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אישום שני</w:t>
      </w:r>
      <w:r>
        <w:rPr>
          <w:rFonts w:eastAsia="Calibri" w:cs="David" w:ascii="David" w:hAnsi="David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בין הנאשם לבין מג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 חטיב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1993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יש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במועדים הרלוונטיים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עשה הנאשם שימוש בלעדי ברכב מסוג שברולט  מליבו שחורה ל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12-357-66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הנמצא בבעלות</w:t>
      </w:r>
      <w:r>
        <w:rPr>
          <w:rFonts w:ascii="David" w:hAnsi="David" w:eastAsia="Calibri"/>
          <w:rtl w:val="true"/>
        </w:rPr>
        <w:t xml:space="preserve"> אמו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בבעלותו של המתלונן עסק של סיטונאות מזון בשם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פארס שיווק מזון </w:t>
      </w:r>
      <w:r>
        <w:rPr>
          <w:rFonts w:eastAsia="Calibri" w:cs="David" w:ascii="David" w:hAnsi="David"/>
        </w:rPr>
        <w:t>1996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הנמצא בשכונה במזרחית  בכפר דייר חנא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במרחק של מספר מאות מטרים מביתו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העסק</w:t>
      </w:r>
      <w:r>
        <w:rPr>
          <w:rFonts w:eastAsia="Calibri" w:cs="David" w:ascii="David" w:hAnsi="David"/>
          <w:rtl w:val="true"/>
        </w:rPr>
        <w:t xml:space="preserve">"). 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במועד שאינו ידוע במדויק למאשימה עובר לתאריך  </w:t>
      </w:r>
      <w:r>
        <w:rPr>
          <w:rFonts w:eastAsia="Calibri" w:cs="David" w:ascii="David" w:hAnsi="David"/>
        </w:rPr>
        <w:t>20/2/23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גמלה בליבו של הנאשם החלטה  לירות לעבר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להטיל בו נכות או מום או לגרום לו לחבלה חמורה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לצורך מימוש החלטתו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טשטש הנאשם את סימני הזיהוי של הרכב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באופן שפירק את לוחיות הזיהוי שלו והרכיב במקומן לוחיות זיהוי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68-998-68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השייכות לרכב מסוג פורד אשר בבעלות עסאלה מנסור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בהמשך למתואר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 </w:t>
      </w:r>
      <w:r>
        <w:rPr>
          <w:rFonts w:eastAsia="Calibri" w:cs="David" w:ascii="David" w:hAnsi="David"/>
        </w:rPr>
        <w:t>20/2/23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בסמוך לשעה  </w:t>
      </w:r>
      <w:r>
        <w:rPr>
          <w:rFonts w:eastAsia="Calibri" w:cs="David" w:ascii="David" w:hAnsi="David"/>
        </w:rPr>
        <w:t>16:30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עמד המתלונן ברחבה  הממוקמת מול העסק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ביחד עם מוחמד אבו חוף ואחר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באותו מועד בשעה </w:t>
      </w:r>
      <w:r>
        <w:rPr>
          <w:rFonts w:eastAsia="Calibri" w:cs="David" w:ascii="David" w:hAnsi="David"/>
        </w:rPr>
        <w:t>16:31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הגיע הנאשם בסמוך לעסק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נוהג ברכב ועוטה על פניו חם צוואר במטרה להקשות על זיהויו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וכשהוא מחזיק נושא ומוביל ברכב את האקדח המתואר 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טעון במחסנית תואמת המהווה אביזר לנזק ובתוכה כדורים בקוטר 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המהווים תחמושת וזאת בלא רשות על פי דין להחזקתם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נשיאתם והובלתם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הבחין </w:t>
      </w:r>
      <w:r>
        <w:rPr>
          <w:rFonts w:ascii="David" w:hAnsi="David" w:eastAsia="Calibri"/>
          <w:rtl w:val="true"/>
        </w:rPr>
        <w:t>במתלונן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עצר את הרכב בסמוך אליו וירה לעבור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לכל הפחות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פגוע בו ולהטיל בו נכות או מום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לגרום לו חבלה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ובאופן שיש בו כדי לסכן חיי אדם באזור מגורים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הירי</w:t>
      </w:r>
      <w:r>
        <w:rPr>
          <w:rFonts w:eastAsia="Calibri" w:cs="David" w:ascii="David" w:hAnsi="David"/>
          <w:rtl w:val="true"/>
        </w:rPr>
        <w:t xml:space="preserve">"). 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כתוצאה מהירי פגע  קליע אחד בבית החזה השמאלי של המתלונן והוא נפל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ושניים מהקליעים פגעו בתריס דלת העסק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לאחר המתואר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נמלט מהמקום באמצעות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מחזיק נושא ומוביל את הנשק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כתוצאה ממעשיו של הנאשם נגרמו למתלונן פצעים וחבלות חמורות כדלקמן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פצע בבית החזה השמאלי ליטראלי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פצע שפשוף אורכי המהווה פצע כניסה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הקליע נותר תקוע בסקפולה ושבר בגוף הסקפולה ללא תזוזה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המתלונן פונה באמבולנס לבית החולים פוריה בטבריה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היה מאושפז בין התאריכים </w:t>
      </w:r>
      <w:r>
        <w:rPr>
          <w:rFonts w:eastAsia="Calibri" w:cs="David" w:ascii="David" w:hAnsi="David"/>
        </w:rPr>
        <w:t>20/2/23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eastAsia="Calibri" w:cs="David" w:ascii="David" w:hAnsi="David"/>
        </w:rPr>
        <w:t>21/2/23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הוגש גיליון הרשעות 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)</w:t>
      </w:r>
    </w:p>
    <w:p>
      <w:pPr>
        <w:pStyle w:val="Normal"/>
        <w:tabs>
          <w:tab w:val="clear" w:pos="720"/>
          <w:tab w:val="left" w:pos="2110" w:leader="none"/>
        </w:tabs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בטיעוניה ביקשה לאמץ את הסדר הטעון תוך שהיא מציינת כי מדובר בהסדר מאוזן וענישה ראויה וזאת בשים לב לקשיים הראיתים בתיק והעבודה כי מדובר בתיק נסיבתי בהתייחס לאישום 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הפנתה לעברו הפלילי של הנאשם אשר כולל הרשעה אחת משנת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 xml:space="preserve">מספר עבירות </w:t>
      </w:r>
      <w:r>
        <w:rPr>
          <w:rFonts w:ascii="David" w:hAnsi="David"/>
          <w:rtl w:val="true"/>
        </w:rPr>
        <w:t xml:space="preserve">של ניסיון להפרת צו בית משפט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נועד להגן על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רבות של ניסיון לתקיפה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הפנתה לעובדה כי ביום </w:t>
      </w:r>
      <w:r>
        <w:rPr>
          <w:rFonts w:cs="David" w:ascii="David" w:hAnsi="David"/>
        </w:rPr>
        <w:t>20.06.23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בגין שתי עבירות של הסעת תושבים זרים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 עליו עונש של חודשיים של מאסר בפועל במצטבר לכל עונש אחר שייגזר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ביקשה לצבור את העונש שהוטל עליו לעונש שייגזר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התנגדה לעתירת ההגנה </w:t>
      </w:r>
      <w:r>
        <w:rPr>
          <w:rFonts w:ascii="David" w:hAnsi="David"/>
          <w:rtl w:val="true"/>
        </w:rPr>
        <w:t xml:space="preserve">לפיה </w:t>
      </w:r>
      <w:r>
        <w:rPr>
          <w:rFonts w:ascii="David" w:hAnsi="David"/>
          <w:rtl w:val="true"/>
        </w:rPr>
        <w:t>כספי החילוט יועברו לנפגע העבירה וזאת לאור השוני התכליתי בין שני הרכיבים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הנאשם לעונש</w:t>
      </w:r>
    </w:p>
    <w:p>
      <w:pPr>
        <w:pStyle w:val="Normal"/>
        <w:ind w:start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 לאמץ את ההסדר מהטעמים שפורטו על ידי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הקשור </w:t>
      </w:r>
      <w:r>
        <w:rPr>
          <w:rFonts w:ascii="David" w:hAnsi="David"/>
          <w:rtl w:val="true"/>
        </w:rPr>
        <w:t xml:space="preserve">ליתר רכיבי הענישה </w:t>
      </w:r>
      <w:r>
        <w:rPr>
          <w:rFonts w:ascii="David" w:hAnsi="David"/>
          <w:rtl w:val="true"/>
        </w:rPr>
        <w:t>ביקש שיוטל מאסר מותנה מידתי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הסכים כאמור לחילוט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לראות בחילוט הרכב כקנס הולם ובהתאם להימנע מהטלת 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הפנה לעובדה כי הנאשם עצור ואין לו 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כי זה יהיה בסביבות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וזאת לאור תכלית ההליך הפלילי </w:t>
      </w:r>
      <w:r>
        <w:rPr>
          <w:rFonts w:ascii="David" w:hAnsi="David"/>
          <w:rtl w:val="true"/>
        </w:rPr>
        <w:t xml:space="preserve">והיעדר </w:t>
      </w:r>
      <w:r>
        <w:rPr>
          <w:rFonts w:ascii="David" w:hAnsi="David"/>
          <w:rtl w:val="true"/>
        </w:rPr>
        <w:t>נתונים ב</w:t>
      </w:r>
      <w:r>
        <w:rPr>
          <w:rFonts w:ascii="David" w:hAnsi="David"/>
          <w:rtl w:val="true"/>
        </w:rPr>
        <w:t>שאלת מידת הפגיעה במתלונן והאם נגרמה לו נכות כלשהי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בטעון משלים הפנה לעובדה שבגין מאסרו בתיק האחר הנאשם ריצה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לאחר ניכוי מנהלי ובהתאם זו התקופה שיש לצבור למאסר בתיק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עצמו הצטער על ביצוע העבירות וביקש לפתוח דף 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עבד לפרנסתו עובר למעצרו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לכך כי הוא משמש כאסיר תומך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ומשתתף בקבוצות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לכך כי אביו נפטר בזמן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אשר מנע ממנו מלהשתתף בהלווייתו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tLeast" w:line="300"/>
        <w:ind w:firstLine="360" w:end="0"/>
        <w:jc w:val="both"/>
        <w:rPr>
          <w:rFonts w:cs="Times New Roman"/>
          <w:color w:val="000000"/>
          <w:sz w:val="17"/>
          <w:szCs w:val="17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העונש המוסכם </w:t>
      </w:r>
    </w:p>
    <w:p>
      <w:pPr>
        <w:pStyle w:val="Normal"/>
        <w:numPr>
          <w:ilvl w:val="0"/>
          <w:numId w:val="1"/>
        </w:numPr>
        <w:spacing w:lineRule="atLeast" w:line="360" w:before="280" w:after="280"/>
        <w:ind w:hanging="36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David" w:hAnsi="David"/>
          <w:color w:val="000000"/>
          <w:rtl w:val="true"/>
        </w:rPr>
        <w:t>מדובר בהסדר טעון לעניין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ובהתאם בית המשפט אינו נדרש לקבוע מתחם עונש הולם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ששקלתי את חומרת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 ביצוען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מידת הפגיעה  בערכים המוגנים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הפסיקה הנהוגה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המינימום הקבוע בגין עבירת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ואת טענות הצדדים לרבות הטענה בדבר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קשיים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ראייתיים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סבור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ההסדר אליו הגיעו הצדדים הינו ראוי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ובדעתי לאמצו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hanging="709" w:start="652" w:end="0"/>
        <w:jc w:val="both"/>
        <w:rPr>
          <w:rFonts w:ascii="David" w:hAnsi="David" w:cs="David"/>
          <w:color w:val="000000"/>
          <w:sz w:val="2"/>
          <w:szCs w:val="2"/>
        </w:rPr>
      </w:pPr>
      <w:r>
        <w:rPr>
          <w:rFonts w:cs="David" w:ascii="David" w:hAnsi="David"/>
          <w:color w:val="000000"/>
          <w:sz w:val="2"/>
          <w:szCs w:val="2"/>
          <w:rtl w:val="true"/>
        </w:rPr>
      </w:r>
    </w:p>
    <w:p>
      <w:pPr>
        <w:pStyle w:val="Normal"/>
        <w:spacing w:lineRule="auto" w:line="360"/>
        <w:ind w:hanging="709" w:start="652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rtl w:val="true"/>
        </w:rPr>
        <w:tab/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cs="David"/>
          <w:sz w:val="14"/>
          <w:szCs w:val="14"/>
          <w:lang w:val="en-IL" w:eastAsia="en-IL"/>
        </w:rPr>
      </w:pPr>
      <w:r>
        <w:rPr>
          <w:rFonts w:ascii="David" w:hAnsi="David" w:eastAsia="Calibri"/>
          <w:rtl w:val="true"/>
        </w:rPr>
        <w:t>לאור מצבו הכלכלי הקשה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ותקופת המאסר אותה הוא עתיד לרצות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וחילוט הרכב בו בוצעו העבירות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יוטל קנס נמוך יחסית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  <w:lang w:val="en-IL" w:eastAsia="en-IL"/>
        </w:rPr>
      </w:pPr>
      <w:r>
        <w:rPr>
          <w:rFonts w:cs="David" w:ascii="David" w:hAnsi="David"/>
          <w:sz w:val="14"/>
          <w:szCs w:val="14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/>
          <w:rtl w:val="true"/>
        </w:rPr>
        <w:t xml:space="preserve">בכל הנוגע </w:t>
      </w:r>
      <w:r>
        <w:rPr>
          <w:rFonts w:ascii="David" w:hAnsi="David"/>
          <w:rtl w:val="true"/>
        </w:rPr>
        <w:t xml:space="preserve">לפיצוי לטובת נפגע העבירה כבר </w:t>
      </w:r>
      <w:r>
        <w:rPr>
          <w:rFonts w:ascii="David" w:hAnsi="David"/>
          <w:rtl w:val="true"/>
        </w:rPr>
        <w:t>נפסק לא פעם כי לא נדרשת הוכחה מדויקת של היקף הנזק</w:t>
      </w:r>
      <w:r>
        <w:rPr>
          <w:rFonts w:cs="David" w:ascii="David" w:hAnsi="David"/>
          <w:sz w:val="14"/>
          <w:szCs w:val="14"/>
          <w:rtl w:val="true"/>
        </w:rPr>
        <w:t xml:space="preserve">. </w:t>
      </w:r>
      <w:r>
        <w:rPr>
          <w:rFonts w:ascii="David" w:hAnsi="David"/>
          <w:rtl w:val="true"/>
        </w:rPr>
        <w:t>תכלית הפיצוי לקורבן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להיטיב את מלוא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הוא בעיקרו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אקט סמלי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חינוכי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ערכי ואינו מהווה פיצוי ממשי </w:t>
      </w:r>
      <w:r>
        <w:rPr>
          <w:rFonts w:cs="David" w:ascii="David" w:hAnsi="David"/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11178/04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9727/05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rtl w:val="true"/>
        </w:rPr>
        <w:t>בכל הנוגע לגובה הפיצוי שיוטל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val="en-IL" w:eastAsia="en-IL"/>
        </w:rPr>
        <w:t>מובהר שאין בכו כדי ללמד על גובה הנזק  שנגרם למתלונן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מדובר בפיצוי עונשי שבין מטרותיו גם  הכרה בפגיעות שנגרמו למתלונן</w:t>
      </w:r>
      <w:r>
        <w:rPr>
          <w:rFonts w:cs="David" w:ascii="David" w:hAnsi="David"/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הפגיעות בקורבן העבירה היו כמפורט לעיל משמעותיות ורק במזל הוא לא איבד את חייו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לעתירת הנאשם להעביר את הכספים שיושגו מחילוט הרכב לטובת המתלונן כרכיב של פיצוי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אין כל מקום להיעתר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הכספים שיתקבלו מחילוט הרכב הינם כספי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לפיצוי ולחילוט מטרות שונות בתכלית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כלל לא ברור האם חילוט הרכב יניב תמורה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before="0" w:after="160"/>
        <w:ind w:end="0"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cs="David" w:ascii="David" w:hAnsi="David"/>
          <w:b/>
          <w:bCs/>
        </w:rPr>
        <w:t>4.5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שנים בניכוי ימי מעצרו מתאריך </w:t>
      </w:r>
      <w:r>
        <w:rPr>
          <w:rFonts w:cs="David" w:ascii="David" w:hAnsi="David"/>
          <w:b/>
          <w:bCs/>
        </w:rPr>
        <w:t>23/2/23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ליום </w:t>
      </w:r>
      <w:r>
        <w:rPr>
          <w:rFonts w:cs="David" w:ascii="David" w:hAnsi="David"/>
          <w:b/>
          <w:bCs/>
        </w:rPr>
        <w:t>20.06.23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ומיום </w:t>
      </w:r>
      <w:r>
        <w:rPr>
          <w:rFonts w:cs="David" w:ascii="David" w:hAnsi="David"/>
          <w:b/>
          <w:bCs/>
        </w:rPr>
        <w:t>20.07.23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 לתקופה של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שהנאשם 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עבירת נשק או עבירת אלימות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שהנאשם 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עבירת נשק או עבירות אלימות מסוג עוון </w:t>
      </w:r>
      <w:r>
        <w:rPr>
          <w:rFonts w:ascii="David" w:hAnsi="David" w:eastAsia="Calibri"/>
          <w:b/>
          <w:b/>
          <w:bCs/>
          <w:rtl w:val="true"/>
        </w:rPr>
        <w:t xml:space="preserve"> או עבירה של שינוי זהות של רכב </w:t>
      </w:r>
      <w:r>
        <w:rPr>
          <w:rFonts w:ascii="David" w:hAnsi="David" w:eastAsia="Calibri"/>
          <w:b/>
          <w:b/>
          <w:bCs/>
          <w:rtl w:val="true"/>
        </w:rPr>
        <w:t>ויורשע בגינה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מורה על חילוט </w:t>
      </w:r>
      <w:r>
        <w:rPr>
          <w:rFonts w:ascii="David" w:hAnsi="David" w:eastAsia="Calibri"/>
          <w:b/>
          <w:b/>
          <w:bCs/>
          <w:rtl w:val="true"/>
        </w:rPr>
        <w:t>ה</w:t>
      </w:r>
      <w:r>
        <w:rPr>
          <w:rFonts w:ascii="David" w:hAnsi="David" w:eastAsia="Calibri"/>
          <w:b/>
          <w:b/>
          <w:bCs/>
          <w:rtl w:val="true"/>
        </w:rPr>
        <w:t xml:space="preserve">רכב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סוג שברולט מליבו ל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ascii="David" w:hAnsi="David" w:eastAsia="Calibri"/>
          <w:b/>
          <w:b/>
          <w:bCs/>
          <w:rtl w:val="true"/>
        </w:rPr>
        <w:t>ז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eastAsia="Calibri" w:cs="David" w:ascii="David" w:hAnsi="David"/>
          <w:b/>
          <w:bCs/>
        </w:rPr>
        <w:t>12-357-66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ascii="David" w:hAnsi="David" w:eastAsia="Calibri"/>
          <w:b/>
          <w:b/>
          <w:bCs/>
          <w:rtl w:val="true"/>
        </w:rPr>
        <w:t xml:space="preserve">טובת </w:t>
      </w:r>
      <w:r>
        <w:rPr>
          <w:rFonts w:ascii="David" w:hAnsi="David" w:eastAsia="Calibri"/>
          <w:b/>
          <w:b/>
          <w:bCs/>
          <w:rtl w:val="true"/>
        </w:rPr>
        <w:t>אוצר המדינה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          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קנס בסך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 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 מאסר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הנאשם ישלם לקרבן העבירה עד התביעה מס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פיצוי כספי בסך </w:t>
      </w:r>
      <w:r>
        <w:rPr>
          <w:rFonts w:eastAsia="Calibri" w:cs="David" w:ascii="David" w:hAnsi="David"/>
          <w:b/>
          <w:bCs/>
        </w:rPr>
        <w:t>10,000</w:t>
      </w:r>
      <w:r>
        <w:rPr>
          <w:rFonts w:eastAsia="Calibri" w:cs="David" w:ascii="David" w:hAnsi="David"/>
          <w:b/>
          <w:bCs/>
          <w:rtl w:val="true"/>
        </w:rPr>
        <w:t xml:space="preserve"> ₪.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הקנס</w:t>
      </w:r>
      <w:r>
        <w:rPr>
          <w:rFonts w:ascii="David" w:hAnsi="David"/>
          <w:b/>
          <w:b/>
          <w:bCs/>
          <w:rtl w:val="true"/>
        </w:rPr>
        <w:t xml:space="preserve"> והפיצוי</w:t>
      </w:r>
      <w:r>
        <w:rPr>
          <w:rFonts w:ascii="David" w:hAnsi="David"/>
          <w:b/>
          <w:b/>
          <w:bCs/>
          <w:rtl w:val="true"/>
        </w:rPr>
        <w:t xml:space="preserve"> ישול</w:t>
      </w:r>
      <w:r>
        <w:rPr>
          <w:rFonts w:ascii="David" w:hAnsi="David"/>
          <w:b/>
          <w:b/>
          <w:bCs/>
          <w:rtl w:val="true"/>
        </w:rPr>
        <w:t>מו</w:t>
      </w:r>
      <w:r>
        <w:rPr>
          <w:rFonts w:ascii="David" w:hAnsi="David"/>
          <w:b/>
          <w:b/>
          <w:bCs/>
          <w:rtl w:val="true"/>
        </w:rPr>
        <w:t xml:space="preserve"> עד ליום </w:t>
      </w:r>
      <w:r>
        <w:rPr>
          <w:rFonts w:cs="David" w:ascii="David" w:hAnsi="David"/>
          <w:b/>
          <w:bCs/>
        </w:rPr>
        <w:t>01/09/24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color w:val="FFFFFF"/>
          <w:sz w:val="2"/>
          <w:szCs w:val="2"/>
        </w:rPr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תשומת לב הנאשם שיש לשלם את הקנס</w:t>
      </w:r>
      <w:r>
        <w:rPr>
          <w:rFonts w:ascii="David" w:hAnsi="David"/>
          <w:rtl w:val="true"/>
        </w:rPr>
        <w:t xml:space="preserve"> והפיצוי</w:t>
      </w:r>
      <w:r>
        <w:rPr>
          <w:rFonts w:ascii="David" w:hAnsi="David"/>
          <w:rtl w:val="true"/>
        </w:rPr>
        <w:t xml:space="preserve">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מיום מתן גזר הדין וזאת באחת מהדרכים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cs="Times New Roman" w:ascii="David" w:hAnsi="David"/>
            <w:color w:val="0000FF"/>
            <w:u w:val="single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מוקד שירות טלפוני בשרות עצמי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מרכז גבייה</w:t>
      </w:r>
      <w:r>
        <w:rPr>
          <w:rFonts w:cs="David" w:ascii="David" w:hAnsi="David"/>
          <w:rtl w:val="true"/>
        </w:rPr>
        <w:t xml:space="preserve">)  – </w:t>
      </w:r>
      <w:r>
        <w:rPr>
          <w:rFonts w:ascii="David" w:hAnsi="David"/>
          <w:rtl w:val="true"/>
        </w:rPr>
        <w:t xml:space="preserve">בטלפון </w:t>
      </w:r>
      <w:r>
        <w:rPr>
          <w:rFonts w:cs="David" w:ascii="David" w:hAnsi="David"/>
        </w:rPr>
        <w:t>35592</w:t>
      </w:r>
      <w:r>
        <w:rPr>
          <w:rFonts w:cs="David" w:ascii="David" w:hAnsi="David"/>
          <w:rtl w:val="true"/>
        </w:rPr>
        <w:t xml:space="preserve">* </w:t>
      </w:r>
      <w:r>
        <w:rPr>
          <w:rFonts w:ascii="David" w:hAnsi="David"/>
          <w:rtl w:val="true"/>
        </w:rPr>
        <w:t xml:space="preserve">או בטלפון </w:t>
      </w:r>
      <w:r>
        <w:rPr>
          <w:rFonts w:cs="David" w:ascii="David" w:hAnsi="David"/>
        </w:rPr>
        <w:t>073-2055000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ניתן לפנות לנציגים לקבלת מידע במספרים הללו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252" w:before="0" w:after="160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64156-03-23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דוירי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0a.b.1.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law/70301/413i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40a.b.1.;340a.b.2" TargetMode="External"/><Relationship Id="rId18" Type="http://schemas.openxmlformats.org/officeDocument/2006/relationships/hyperlink" Target="http://www.nevo.co.il/law/70301/413i" TargetMode="External"/><Relationship Id="rId19" Type="http://schemas.openxmlformats.org/officeDocument/2006/relationships/hyperlink" Target="http://www.nevo.co.il/case/6241425" TargetMode="External"/><Relationship Id="rId20" Type="http://schemas.openxmlformats.org/officeDocument/2006/relationships/hyperlink" Target="http://www.nevo.co.il/case/6158650" TargetMode="External"/><Relationship Id="rId21" Type="http://schemas.openxmlformats.org/officeDocument/2006/relationships/hyperlink" Target="http://www.eca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2024-04-07T12:58:00Z</dcterms:created>
  <dc:creator> </dc:creator>
  <dc:description/>
  <cp:keywords/>
  <dc:language>en-IL</dc:language>
  <cp:lastModifiedBy>h1</cp:lastModifiedBy>
  <dcterms:modified xsi:type="dcterms:W3CDTF">2024-04-07T12:58:00Z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סאמר דוירי</vt:lpwstr>
  </property>
  <property fmtid="{D5CDD505-2E9C-101B-9397-08002B2CF9AE}" pid="4" name="CASESLISTTMP1">
    <vt:lpwstr>6241425;6158650</vt:lpwstr>
  </property>
  <property fmtid="{D5CDD505-2E9C-101B-9397-08002B2CF9AE}" pid="5" name="CITY">
    <vt:lpwstr>חי'</vt:lpwstr>
  </property>
  <property fmtid="{D5CDD505-2E9C-101B-9397-08002B2CF9AE}" pid="6" name="DATE">
    <vt:lpwstr>20240403</vt:lpwstr>
  </property>
  <property fmtid="{D5CDD505-2E9C-101B-9397-08002B2CF9AE}" pid="7" name="ISABSTRACT">
    <vt:lpwstr>Y</vt:lpwstr>
  </property>
  <property fmtid="{D5CDD505-2E9C-101B-9397-08002B2CF9AE}" pid="8" name="JUDGE">
    <vt:lpwstr>גיל קרזבום</vt:lpwstr>
  </property>
  <property fmtid="{D5CDD505-2E9C-101B-9397-08002B2CF9AE}" pid="9" name="LAWLISTTMP1">
    <vt:lpwstr>70301/144.a:2;144.b;333;335.a.1;340a.b.1;340a.b.2;413i</vt:lpwstr>
  </property>
  <property fmtid="{D5CDD505-2E9C-101B-9397-08002B2CF9AE}" pid="10" name="NEWPARTA">
    <vt:lpwstr>64156</vt:lpwstr>
  </property>
  <property fmtid="{D5CDD505-2E9C-101B-9397-08002B2CF9AE}" pid="11" name="NEWPARTB">
    <vt:lpwstr>03</vt:lpwstr>
  </property>
  <property fmtid="{D5CDD505-2E9C-101B-9397-08002B2CF9AE}" pid="12" name="NEWPARTC">
    <vt:lpwstr>23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390020240403</vt:lpwstr>
  </property>
  <property fmtid="{D5CDD505-2E9C-101B-9397-08002B2CF9AE}" pid="17" name="TYPE_N_DATE">
    <vt:lpwstr>39020240403</vt:lpwstr>
  </property>
  <property fmtid="{D5CDD505-2E9C-101B-9397-08002B2CF9AE}" pid="18" name="WORDNUMPAGES">
    <vt:lpwstr>4</vt:lpwstr>
  </property>
</Properties>
</file>