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64689-11-15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אברמוב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4"/>
        <w:gridCol w:w="2796"/>
        <w:gridCol w:w="5922"/>
      </w:tblGrid>
      <w:tr>
        <w:trPr/>
        <w:tc>
          <w:tcPr>
            <w:tcW w:w="130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מסיה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יג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'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בפרק 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 </w:t>
      </w:r>
      <w:r>
        <w:rPr>
          <w:rtl w:val="true"/>
        </w:rPr>
        <w:t>מסייה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</w:t>
      </w:r>
      <w:r>
        <w:rPr>
          <w:rtl w:val="true"/>
        </w:rPr>
        <w:t xml:space="preserve">, 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  <w:r>
        <w:rPr>
          <w:rtl w:val="true"/>
        </w:rPr>
        <w:t xml:space="preserve">"),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23.11.15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הקצין</w:t>
      </w:r>
      <w:r>
        <w:rPr>
          <w:rtl w:val="true"/>
        </w:rPr>
        <w:t xml:space="preserve">"),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הבניין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הדירה</w:t>
      </w:r>
      <w:r>
        <w:rPr>
          <w:rtl w:val="true"/>
        </w:rPr>
        <w:t xml:space="preserve">").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tl w:val="true"/>
        </w:rPr>
        <w:t xml:space="preserve">.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".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tl w:val="true"/>
        </w:rPr>
        <w:t xml:space="preserve">, </w:t>
      </w:r>
      <w:r>
        <w:rPr>
          <w:rtl w:val="true"/>
        </w:rPr>
        <w:t>וכוח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חגי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סימון</w:t>
      </w:r>
      <w:r>
        <w:rPr>
          <w:rtl w:val="true"/>
        </w:rPr>
        <w:t xml:space="preserve">, </w:t>
      </w:r>
      <w:r>
        <w:rPr>
          <w:rtl w:val="true"/>
        </w:rPr>
        <w:t>יוגב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והשתולל</w:t>
      </w:r>
      <w:r>
        <w:rPr>
          <w:rtl w:val="true"/>
        </w:rPr>
        <w:t xml:space="preserve">,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ולאזקו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.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באחרונה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12.3.15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סוהר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tl w:val="true"/>
        </w:rPr>
        <w:t xml:space="preserve">,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מטרונית</w:t>
      </w:r>
      <w:r>
        <w:rPr>
          <w:rtl w:val="true"/>
        </w:rPr>
        <w:t xml:space="preserve">";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אייזנבנד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לתפיסתה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הפרקליטה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לתפיסת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ארבע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בהתייחסה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הצריכות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מצביעות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בהגינותה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בהתייחסה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שפירא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 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5036/06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סנגורו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לרועץ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התאכזרו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שהעובדות</w:t>
      </w:r>
      <w:r>
        <w:rPr>
          <w:rtl w:val="true"/>
        </w:rPr>
        <w:t xml:space="preserve">,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כמשמעו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תמים</w:t>
      </w:r>
      <w:r>
        <w:rPr>
          <w:rtl w:val="true"/>
        </w:rPr>
        <w:t xml:space="preserve">"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29.6.11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עוינת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Miriam"/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הדאבה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start="1418" w:end="1418"/>
        <w:jc w:val="both"/>
        <w:rPr>
          <w:rFonts w:cs="Miriam"/>
          <w:b/>
          <w:bCs/>
        </w:rPr>
      </w:pP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נהיר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לכליאתם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מבצעיהן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start="1418" w:end="1418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end="1418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513" w:end="993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>,</w:t>
      </w:r>
      <w:r>
        <w:rPr>
          <w:rFonts w:cs="Miriam"/>
          <w:u w:val="single"/>
          <w:rtl w:val="true"/>
        </w:rPr>
        <w:t xml:space="preserve"> </w:t>
      </w:r>
      <w:hyperlink r:id="rId2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lineRule="auto" w:line="360"/>
        <w:ind w:start="1418" w:end="1418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19.4.2004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')</w:t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לבדו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מתוכננת</w:t>
      </w:r>
      <w:r>
        <w:rPr>
          <w:rtl w:val="true"/>
        </w:rPr>
        <w:t xml:space="preserve">. </w:t>
      </w:r>
      <w:r>
        <w:rPr>
          <w:rtl w:val="true"/>
        </w:rPr>
        <w:t>נזקה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tl w:val="true"/>
        </w:rPr>
        <w:t xml:space="preserve">,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לדוגמה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5604/11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19.09.11</w:t>
      </w:r>
      <w:r>
        <w:rPr>
          <w:rtl w:val="true"/>
          <w:lang w:eastAsia="he-IL"/>
        </w:rPr>
        <w:t xml:space="preserve">) -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ועונשים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(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ברטה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3288/14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קריספיל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24.8.14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כנכס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להכפיל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לשנתיים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01.02.15</w:t>
      </w:r>
      <w:r>
        <w:rPr>
          <w:rtl w:val="true"/>
          <w:lang w:eastAsia="he-IL"/>
        </w:rPr>
        <w:t xml:space="preserve">) -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FN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סעיף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28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ועשויה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: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מהתאונה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מטרונית</w:t>
      </w:r>
      <w:r>
        <w:rPr>
          <w:rtl w:val="true"/>
        </w:rPr>
        <w:t xml:space="preserve">"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והנפוצה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64689-11-15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מסיה אברמוב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iChS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0737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673467" TargetMode="External"/><Relationship Id="rId20" Type="http://schemas.openxmlformats.org/officeDocument/2006/relationships/hyperlink" Target="http://www.nevo.co.il/case/13093744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5762686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case/6024035" TargetMode="External"/><Relationship Id="rId25" Type="http://schemas.openxmlformats.org/officeDocument/2006/relationships/hyperlink" Target="http://www.nevo.co.il/case/16913730" TargetMode="External"/><Relationship Id="rId26" Type="http://schemas.openxmlformats.org/officeDocument/2006/relationships/hyperlink" Target="http://www.nevo.co.il/case/5878682" TargetMode="External"/><Relationship Id="rId27" Type="http://schemas.openxmlformats.org/officeDocument/2006/relationships/hyperlink" Target="http://www.nevo.co.il/case/17954222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f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g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86" TargetMode="External"/><Relationship Id="rId36" Type="http://schemas.openxmlformats.org/officeDocument/2006/relationships/hyperlink" Target="http://www.nevo.co.il/law/70301/iChS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2016-06-13T12:52:00Z</dcterms:created>
  <dc:creator> </dc:creator>
  <dc:description/>
  <cp:keywords/>
  <dc:language>en-IL</dc:language>
  <cp:lastModifiedBy>run</cp:lastModifiedBy>
  <dcterms:modified xsi:type="dcterms:W3CDTF">2016-06-13T12:52:00Z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מסיה אברמוב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507371;5673467;13093744;7791493;5762686;6024035;16913730;5878682;17954222</vt:lpwstr>
  </property>
  <property fmtid="{D5CDD505-2E9C-101B-9397-08002B2CF9AE}" pid="9" name="CITY">
    <vt:lpwstr>חי'</vt:lpwstr>
  </property>
  <property fmtid="{D5CDD505-2E9C-101B-9397-08002B2CF9AE}" pid="10" name="DATE">
    <vt:lpwstr>20160225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70301/144.b:2;40jc.a;040i;40ja;040f;040g;144;186;iChS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64689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390020160225</vt:lpwstr>
  </property>
  <property fmtid="{D5CDD505-2E9C-101B-9397-08002B2CF9AE}" pid="34" name="TYPE_N_DATE">
    <vt:lpwstr>39020160225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