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64832-01-15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מטר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61170-02-15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מטר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3"/>
        <w:gridCol w:w="2797"/>
        <w:gridCol w:w="5922"/>
      </w:tblGrid>
      <w:tr>
        <w:trPr/>
        <w:tc>
          <w:tcPr>
            <w:tcW w:w="129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זך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מאל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מטר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כנעאנה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איברהים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מטר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סניגוריה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ציבורית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u w:val="none"/>
                </w:rPr>
                <w:t>29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u w:val="non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u w:val="none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u w:val="none"/>
                </w:rPr>
                <w:t>413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ה</w:t>
              </w:r>
            </w:hyperlink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color w:val="0000FF"/>
                <w:sz w:val="32"/>
                <w:szCs w:val="32"/>
              </w:rPr>
            </w:pPr>
            <w:r>
              <w:rPr>
                <w:rFonts w:cs="FrankRuehl" w:ascii="Arial" w:hAnsi="Arial"/>
                <w:color w:val="0000FF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13.10.15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בשלישית</w:t>
      </w:r>
      <w:r>
        <w:rPr>
          <w:rFonts w:cs="Calibri" w:ascii="Calibri" w:hAnsi="Calibri"/>
          <w:rtl w:val="true"/>
        </w:rPr>
        <w:t>):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cs="Calibri" w:ascii="Calibri" w:hAnsi="Calibri"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13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השודדים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ישראלי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17:49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הקופאיות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הפקידה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מנגנון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השהייה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תפתח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המפתח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כששללם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יובהר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כי העובדות ביחס להן נותרו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עמדות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10.2.15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20.1.15-21.1.15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ההולם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6-9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986/12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תק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4876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7.5.14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באותו מקרה אוזכרו מקרים נוספים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; 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ברצח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164-04-12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רפאילוב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10.9.12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צעצוע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4-6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והצטיידו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מהלקוחות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שנהרסו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cs="Calibri" w:ascii="Calibri" w:hAnsi="Calibri"/>
          <w:rtl w:val="true"/>
        </w:rPr>
        <w:t xml:space="preserve">.     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לטשטש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  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בזדון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המציין</w:t>
      </w:r>
      <w:r>
        <w:rPr>
          <w:rFonts w:cs="Calibri" w:ascii="Calibri" w:hAnsi="Calibri"/>
          <w:rtl w:val="true"/>
        </w:rPr>
        <w:t>-"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986/12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41294-08-14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עשאן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</w:rPr>
        <w:t>19.8.15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18-33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7543/13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גאדאללה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13.1.14</w:t>
      </w:r>
      <w:r>
        <w:rPr>
          <w:rFonts w:cs="Calibri" w:ascii="Calibri" w:hAnsi="Calibri"/>
          <w:rtl w:val="true"/>
        </w:rPr>
        <w:t xml:space="preserve">)-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הסניגור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קולשוב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7.12.15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אתיר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עזב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</w:rPr>
        <w:t>24.6.13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ואמפטיה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גירושים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דוגמא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כשנגמל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בצמצום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1888/02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מקדאד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115/82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מועדי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שנלקח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1261/15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שדובר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1804/10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מאהר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דוחא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24.11.10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לניתוח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42326-01-11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 </w:t>
      </w:r>
      <w:r>
        <w:rPr>
          <w:rFonts w:ascii="Calibri" w:hAnsi="Calibri" w:cs="Calibri"/>
          <w:b/>
          <w:b/>
          <w:bCs/>
          <w:rtl w:val="true"/>
        </w:rPr>
        <w:t>עדיאל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וינר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20.3.13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21.1.15-25.1.15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שיחפוף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מתגבשות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בתלונות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על מעשיהם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בטחון הפרט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 הציבור ובטיחותו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1978-2009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להסיק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כי אינן </w:t>
      </w:r>
      <w:r>
        <w:rPr>
          <w:rFonts w:ascii="Calibri" w:hAnsi="Calibri" w:cs="Calibri"/>
          <w:rtl w:val="true"/>
        </w:rPr>
        <w:t>מעידות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מעיון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לטשטש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שהוא בן </w:t>
      </w: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התוקפנית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ואמפטיה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גדילתו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ותפיסותיו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מהסתבכות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סנקציות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להתרשמותם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כמעט </w:t>
      </w:r>
      <w:r>
        <w:rPr>
          <w:rFonts w:ascii="Calibri" w:hAnsi="Calibri" w:cs="Calibri"/>
          <w:rtl w:val="true"/>
        </w:rPr>
        <w:t>זהה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וכפפות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הפחדת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מהלקוחות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מסרו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שנמחקה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הסרת סעיף העבירה מכתב האישום תילקח בחשבון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למערכת 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מהודאתם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בפני בית 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לאור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האמור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אנ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י מטיל על הנאשמים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עונשים כדלקמן</w:t>
      </w:r>
      <w:r>
        <w:rPr>
          <w:rFonts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  <w:tab/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על כל אחד מן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לאחר שחרורם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>ת אלימות או 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 אחד מן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כל אחד מן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1.5.16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כדלקמן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10.2.15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21.1.15</w:t>
      </w:r>
      <w:r>
        <w:rPr>
          <w:rFonts w:cs="Calibri" w:ascii="Calibri" w:hAnsi="Calibri"/>
          <w:rtl w:val="true"/>
        </w:rPr>
        <w:t xml:space="preserve">.           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20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שבט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ינואר </w:t>
            </w:r>
            <w:r>
              <w:rPr>
                <w:rFonts w:cs="Arial" w:ascii="Arial" w:hAnsi="Arial"/>
              </w:rPr>
              <w:t>2016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בנוכחות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64832-01-15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מאל מטר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FooterChar">
    <w:name w:val="Foote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13e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13e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case/5574019" TargetMode="External"/><Relationship Id="rId20" Type="http://schemas.openxmlformats.org/officeDocument/2006/relationships/hyperlink" Target="http://www.nevo.co.il/case/4763886" TargetMode="External"/><Relationship Id="rId21" Type="http://schemas.openxmlformats.org/officeDocument/2006/relationships/hyperlink" Target="http://www.nevo.co.il/case/5574019" TargetMode="External"/><Relationship Id="rId22" Type="http://schemas.openxmlformats.org/officeDocument/2006/relationships/hyperlink" Target="http://www.nevo.co.il/case/17988729" TargetMode="External"/><Relationship Id="rId23" Type="http://schemas.openxmlformats.org/officeDocument/2006/relationships/hyperlink" Target="http://www.nevo.co.il/case/8487157" TargetMode="External"/><Relationship Id="rId24" Type="http://schemas.openxmlformats.org/officeDocument/2006/relationships/hyperlink" Target="http://www.nevo.co.il/case/5798700" TargetMode="External"/><Relationship Id="rId25" Type="http://schemas.openxmlformats.org/officeDocument/2006/relationships/hyperlink" Target="http://www.nevo.co.il/case/17910825" TargetMode="External"/><Relationship Id="rId26" Type="http://schemas.openxmlformats.org/officeDocument/2006/relationships/hyperlink" Target="http://www.nevo.co.il/case/20033641" TargetMode="External"/><Relationship Id="rId27" Type="http://schemas.openxmlformats.org/officeDocument/2006/relationships/hyperlink" Target="http://www.nevo.co.il/case/5792529" TargetMode="External"/><Relationship Id="rId28" Type="http://schemas.openxmlformats.org/officeDocument/2006/relationships/hyperlink" Target="http://www.nevo.co.il/case/5501957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2022-08-31T13:31:00Z</dcterms:created>
  <dc:creator> </dc:creator>
  <dc:description/>
  <cp:keywords/>
  <dc:language>en-IL</dc:language>
  <cp:lastModifiedBy>h1</cp:lastModifiedBy>
  <dcterms:modified xsi:type="dcterms:W3CDTF">2022-08-31T13:31:00Z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EE">
    <vt:lpwstr>ג'מאל מטר;ד. מחמוד סלים מטר</vt:lpwstr>
  </property>
  <property fmtid="{D5CDD505-2E9C-101B-9397-08002B2CF9AE}" pid="4" name="CASESLISTTMP1">
    <vt:lpwstr>5574019:2;4763886;17988729;8487157;5798700;17910825;20033641;5792529;5501957</vt:lpwstr>
  </property>
  <property fmtid="{D5CDD505-2E9C-101B-9397-08002B2CF9AE}" pid="5" name="CITY">
    <vt:lpwstr>חי'</vt:lpwstr>
  </property>
  <property fmtid="{D5CDD505-2E9C-101B-9397-08002B2CF9AE}" pid="6" name="DATE">
    <vt:lpwstr>20160112</vt:lpwstr>
  </property>
  <property fmtid="{D5CDD505-2E9C-101B-9397-08002B2CF9AE}" pid="7" name="ISABSTRACT">
    <vt:lpwstr>Y</vt:lpwstr>
  </property>
  <property fmtid="{D5CDD505-2E9C-101B-9397-08002B2CF9AE}" pid="8" name="JUDGE">
    <vt:lpwstr>דניאל פיש</vt:lpwstr>
  </property>
  <property fmtid="{D5CDD505-2E9C-101B-9397-08002B2CF9AE}" pid="9" name="LAWLISTTMP1">
    <vt:lpwstr>70301/029:3;144.b;402.b;413e</vt:lpwstr>
  </property>
  <property fmtid="{D5CDD505-2E9C-101B-9397-08002B2CF9AE}" pid="10" name="LAWYER">
    <vt:lpwstr>אבי אור זך ;נאג'י עאמר ;כנעאנה איברהים</vt:lpwstr>
  </property>
  <property fmtid="{D5CDD505-2E9C-101B-9397-08002B2CF9AE}" pid="11" name="NEWPARTA">
    <vt:lpwstr>64832;61170</vt:lpwstr>
  </property>
  <property fmtid="{D5CDD505-2E9C-101B-9397-08002B2CF9AE}" pid="12" name="NEWPARTB">
    <vt:lpwstr>01;02</vt:lpwstr>
  </property>
  <property fmtid="{D5CDD505-2E9C-101B-9397-08002B2CF9AE}" pid="13" name="NEWPARTC">
    <vt:lpwstr>15;</vt:lpwstr>
  </property>
  <property fmtid="{D5CDD505-2E9C-101B-9397-08002B2CF9AE}" pid="14" name="NEWPROC">
    <vt:lpwstr>תפ;תפ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390020160112</vt:lpwstr>
  </property>
  <property fmtid="{D5CDD505-2E9C-101B-9397-08002B2CF9AE}" pid="18" name="TYPE_N_DATE">
    <vt:lpwstr>39020160112</vt:lpwstr>
  </property>
  <property fmtid="{D5CDD505-2E9C-101B-9397-08002B2CF9AE}" pid="19" name="WORDNUMPAGES">
    <vt:lpwstr>8</vt:lpwstr>
  </property>
</Properties>
</file>