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64845-06-16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עואודי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2017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52"/>
        <w:gridCol w:w="6952"/>
      </w:tblGrid>
      <w:tr>
        <w:trPr>
          <w:trHeight w:val="337" w:hRule="atLeast"/>
        </w:trPr>
        <w:tc>
          <w:tcPr>
            <w:tcW w:w="155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</w:t>
            </w:r>
          </w:p>
        </w:tc>
        <w:tc>
          <w:tcPr>
            <w:tcW w:w="6952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64862-06-16</w:t>
            </w:r>
          </w:p>
        </w:tc>
      </w:tr>
      <w:tr>
        <w:trPr>
          <w:trHeight w:val="337" w:hRule="atLeast"/>
        </w:trPr>
        <w:tc>
          <w:tcPr>
            <w:tcW w:w="1552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952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4"/>
                <w:szCs w:val="4"/>
              </w:rPr>
            </w:pPr>
            <w:r>
              <w:rPr>
                <w:b/>
                <w:bCs/>
                <w:rtl w:val="true"/>
              </w:rPr>
              <w:t xml:space="preserve">                      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מספר פל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267189/16</w:t>
            </w:r>
          </w:p>
        </w:tc>
      </w:tr>
      <w:tr>
        <w:trPr>
          <w:trHeight w:val="337" w:hRule="atLeast"/>
        </w:trPr>
        <w:tc>
          <w:tcPr>
            <w:tcW w:w="1552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</w:rPr>
            </w:pPr>
            <w:r>
              <w:rPr>
                <w:rFonts w:cs="Times New Roman" w:ascii="Times New Roman" w:hAnsi="Times New Roman"/>
                <w:b/>
                <w:bCs/>
                <w:sz w:val="4"/>
                <w:szCs w:val="4"/>
              </w:rPr>
            </w:r>
          </w:p>
        </w:tc>
        <w:tc>
          <w:tcPr>
            <w:tcW w:w="695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אזולאי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 עואודי 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4" w:name="FirstLawyer"/>
      <w:r>
        <w:rPr>
          <w:b/>
          <w:b/>
          <w:bCs/>
          <w:rtl w:val="true"/>
        </w:rPr>
        <w:t>מטעם</w:t>
      </w:r>
      <w:bookmarkEnd w:id="4"/>
      <w:r>
        <w:rPr>
          <w:b/>
          <w:b/>
          <w:bCs/>
          <w:rtl w:val="true"/>
        </w:rPr>
        <w:t xml:space="preserve"> 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אוהד כהן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מטעם 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מיכאל כרמל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הופיע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8" w:name="LastJudge"/>
      <w:bookmarkStart w:id="9" w:name="PsakDin"/>
      <w:bookmarkEnd w:id="8"/>
      <w:bookmarkEnd w:id="9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numPr>
          <w:ilvl w:val="0"/>
          <w:numId w:val="1"/>
        </w:numPr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bookmarkStart w:id="12" w:name="ABSTRACT_START"/>
      <w:bookmarkEnd w:id="12"/>
      <w:r>
        <w:rPr>
          <w:rFonts w:ascii="Times New Roman" w:hAnsi="Times New Roman" w:eastAsia="Times New Roman" w:cs="Times New Roman"/>
          <w:rtl w:val="true"/>
        </w:rPr>
        <w:t xml:space="preserve">הנאשם הורשע על פי הודאתו בביצוע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עבירות בנשק </w:t>
      </w:r>
      <w:r>
        <w:rPr>
          <w:rFonts w:eastAsia="Times New Roman"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נשיאה והובלה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 xml:space="preserve">לפי </w:t>
      </w:r>
      <w:hyperlink r:id="rId4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רישא ל</w:t>
      </w:r>
      <w:hyperlink r:id="rId5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התשל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ז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1977</w:t>
      </w:r>
      <w:r>
        <w:rPr>
          <w:rFonts w:eastAsia="Times New Roman"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>: "</w:t>
      </w:r>
      <w:hyperlink r:id="rId6"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"), </w:t>
      </w:r>
      <w:r>
        <w:rPr>
          <w:rFonts w:ascii="Times New Roman" w:hAnsi="Times New Roman" w:eastAsia="Times New Roman" w:cs="Times New Roman"/>
          <w:rtl w:val="true"/>
        </w:rPr>
        <w:t>ו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עבירות בנשק </w:t>
      </w:r>
      <w:r>
        <w:rPr>
          <w:rFonts w:eastAsia="Times New Roman"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תחמושת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לפי </w:t>
      </w:r>
      <w:hyperlink r:id="rId7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סיפא ל</w:t>
      </w:r>
      <w:hyperlink r:id="rId8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</w:p>
    <w:p>
      <w:pPr>
        <w:pStyle w:val="Normal"/>
        <w:spacing w:lineRule="auto" w:line="360"/>
        <w:ind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numPr>
          <w:ilvl w:val="0"/>
          <w:numId w:val="1"/>
        </w:numPr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עובר ליום </w:t>
      </w:r>
      <w:r>
        <w:rPr>
          <w:rFonts w:eastAsia="Times New Roman" w:cs="Times New Roman" w:ascii="Times New Roman" w:hAnsi="Times New Roman"/>
        </w:rPr>
        <w:t>22/6/16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הצטייד הנאשם באקדח ובו מחסנית ריקה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eastAsia="Times New Roman" w:cs="Times New Roman" w:ascii="Times New Roman" w:hAnsi="Times New Roman"/>
        </w:rPr>
        <w:t>11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כדורי רובה בקוטר </w:t>
      </w:r>
      <w:r>
        <w:rPr>
          <w:rFonts w:eastAsia="Times New Roman" w:cs="Times New Roman" w:ascii="Times New Roman" w:hAnsi="Times New Roman"/>
        </w:rPr>
        <w:t>9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מ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מ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ביום </w:t>
      </w:r>
      <w:r>
        <w:rPr>
          <w:rFonts w:eastAsia="Times New Roman" w:cs="Times New Roman" w:ascii="Times New Roman" w:hAnsi="Times New Roman"/>
        </w:rPr>
        <w:t>22/6/16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הטמין הנאשם את האקדח בתא הכפפות של רכבו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ואת כדורי הרובה החזיק בכיסו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סמוך לשעה </w:t>
      </w:r>
      <w:r>
        <w:rPr>
          <w:rFonts w:eastAsia="Times New Roman" w:cs="Times New Roman" w:ascii="Times New Roman" w:hAnsi="Times New Roman"/>
        </w:rPr>
        <w:t>22:30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הגיע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לאזור המשתלה בקצה הצפוני של כפר כנא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שם נתפס 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י השוטרים כשהנשק וכדורי הרובה ברשותו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-37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 xml:space="preserve">תסקיר שירות המבחן </w:t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מתסקיר שירות המבחן עולה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כי הנאשם רווק כבן </w:t>
      </w:r>
      <w:r>
        <w:rPr>
          <w:rFonts w:eastAsia="Times New Roman" w:cs="Times New Roman" w:ascii="Times New Roman" w:hAnsi="Times New Roman"/>
        </w:rPr>
        <w:t>24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מכפר כנא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אין לחובתו הרשעות קודמות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באשר לעבירה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סיפר כי יצא ליער לחפש תוכי שאבד לו ומצא נשק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לא ידע להסביר בפני שירות המבחן לאיזו מטרה החזיק בנשק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שלל שימוש בחומרים פסיכואקטיביים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קצין המבחן התרשם מחוסר כנות בדבריו באשר לנסיבות ביצוע העבירה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שלל נזקקות טיפולית ושירות המבחן התרשם כי אינו בשל להשתלבות בהליך טיפולי במסגרת השירות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המליץ על ענישה מוחשית בדמות עבודות שירות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לצד מאסר ומותנה מרתיע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-37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טיעונים לעונש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-37" w:end="0"/>
        <w:jc w:val="both"/>
        <w:rPr>
          <w:rFonts w:ascii="Calibri" w:hAnsi="Calibri" w:eastAsia="Times New Roman" w:cs="Calibri"/>
        </w:rPr>
      </w:pPr>
      <w:r>
        <w:rPr>
          <w:rFonts w:ascii="Times New Roman" w:hAnsi="Times New Roman" w:eastAsia="Times New Roman" w:cs="Times New Roman"/>
          <w:u w:val="single"/>
          <w:rtl w:val="true"/>
        </w:rPr>
        <w:t>ב</w:t>
      </w:r>
      <w:r>
        <w:rPr>
          <w:rFonts w:eastAsia="Times New Roman" w:cs="Times New Roman" w:ascii="Times New Roman" w:hAnsi="Times New Roman"/>
          <w:u w:val="single"/>
          <w:rtl w:val="true"/>
        </w:rPr>
        <w:t>"</w:t>
      </w:r>
      <w:r>
        <w:rPr>
          <w:rFonts w:ascii="Times New Roman" w:hAnsi="Times New Roman" w:eastAsia="Times New Roman" w:cs="Times New Roman"/>
          <w:u w:val="single"/>
          <w:rtl w:val="true"/>
        </w:rPr>
        <w:t>כ המאשימה</w:t>
      </w:r>
      <w:r>
        <w:rPr>
          <w:rFonts w:ascii="Times New Roman" w:hAnsi="Times New Roman" w:eastAsia="Times New Roman" w:cs="Times New Roman"/>
          <w:rtl w:val="true"/>
        </w:rPr>
        <w:t xml:space="preserve"> טען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שצריך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לגדוע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השורש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הערך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ובטחונו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הפוטנציאלי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המוטיב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העיקרי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18-48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גרסת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כהסבר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מחוסר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וגרסתו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זלזול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באינטליגנציה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המתחם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בשליש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האמצעי</w:t>
      </w:r>
      <w:r>
        <w:rPr>
          <w:rFonts w:eastAsia="Times New Roman" w:cs="Calibri" w:ascii="Calibri" w:hAnsi="Calibri"/>
          <w:rtl w:val="true"/>
        </w:rPr>
        <w:t xml:space="preserve">.  </w:t>
      </w:r>
      <w:r>
        <w:rPr>
          <w:rFonts w:ascii="Calibri" w:hAnsi="Calibri" w:eastAsia="Times New Roman" w:cs="Calibri"/>
          <w:rtl w:val="true"/>
        </w:rPr>
        <w:t>בנוסף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-37" w:end="0"/>
        <w:jc w:val="both"/>
        <w:rPr>
          <w:rFonts w:eastAsia="Times New Roman" w:cs="Times New Roman"/>
        </w:rPr>
      </w:pPr>
      <w:r>
        <w:rPr>
          <w:rFonts w:ascii="Calibri" w:hAnsi="Calibri" w:eastAsia="Times New Roman" w:cs="Calibri"/>
          <w:u w:val="single"/>
          <w:rtl w:val="true"/>
        </w:rPr>
        <w:t>ב</w:t>
      </w:r>
      <w:r>
        <w:rPr>
          <w:rFonts w:eastAsia="Times New Roman" w:cs="Calibri" w:ascii="Calibri" w:hAnsi="Calibri"/>
          <w:u w:val="single"/>
          <w:rtl w:val="true"/>
        </w:rPr>
        <w:t>"</w:t>
      </w:r>
      <w:r>
        <w:rPr>
          <w:rFonts w:ascii="Calibri" w:hAnsi="Calibri" w:eastAsia="Times New Roman" w:cs="Calibri"/>
          <w:u w:val="single"/>
          <w:rtl w:val="true"/>
        </w:rPr>
        <w:t>כ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הזכיר</w:t>
      </w:r>
      <w:r>
        <w:rPr>
          <w:rFonts w:ascii="Times New Roman" w:hAnsi="Times New Roman" w:eastAsia="Times New Roman" w:cs="Times New Roman"/>
          <w:rtl w:val="true"/>
        </w:rPr>
        <w:t xml:space="preserve"> לאת הלכת אבו מוך שקבעה מדרג באשר לחומרת עבירות החזקה בנשק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הבינוני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ידועה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בצעיר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מיכולות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הקוגניטיבי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התאריכים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22.6.16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3.8.16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3.8.16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נפתחו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כנגדו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להטיל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חצי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יהא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לרצותו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מבלי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המעצר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-37" w:end="0"/>
        <w:jc w:val="both"/>
        <w:rPr>
          <w:rFonts w:eastAsia="Times New Roman" w:cs="Times New Roman"/>
        </w:rPr>
      </w:pPr>
      <w:r>
        <w:rPr>
          <w:rFonts w:eastAsia="Times New Roman" w:cs="Times New Roman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דיון ומסקנות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>: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בענייננו הורשע הנאשם בנשיאה והובלה של אקדח ותחמושת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המדובר בעבירות המהוות אירוע אחד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קרי תכנית עבריינית אחת ועל כן אקבע מתחם עונש הולם לאירוע כולו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קביעת מתחם העונש ההולם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הערך החברתי שנפגע ומידת הפגיעה בו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אין צורך להכביר במילים בדבר חומרת עבירות הנשק בהן הורשע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עת פגע במעשיו בערך המוגן של שלום הציבור ותחושת בטחונו מפני פגיעות בגוף ובנפש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בתי המשפט עמדו לא אחת על חומרתן הרבה של עבירות הנשק למיניהן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פוטנציאל הסיכון הרב הטמון בשימוש בו ועל התוצאות הקשות אשר עלולות להיגרם מביצוען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napToGrid w:val="false"/>
        <w:spacing w:lineRule="auto" w:line="360"/>
        <w:ind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hyperlink r:id="rId9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7502/12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כוויס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25/06/13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נקבע כי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עבירות בנשק לסוגיהן מגלמות בתוכן סיכון ממשי לשלום הציבור ולבטחונו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ואיזה שימוש יעשה בהם בעתיד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". </w:t>
      </w:r>
    </w:p>
    <w:p>
      <w:pPr>
        <w:pStyle w:val="Normal"/>
        <w:spacing w:lineRule="auto" w:line="360"/>
        <w:ind w:start="1440" w:end="72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>עוד נקבע ב</w:t>
      </w:r>
      <w:hyperlink r:id="rId10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5833/07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ורי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18/11/2007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כי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הניסיון מלמד שנשק אשר מקורו מפוקפק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לאחר שהוא יוצא מידי המחזיק בו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מוצא את דרכו לידיים עברייניות או למפגעים למיניהם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...".</w:t>
      </w:r>
    </w:p>
    <w:p>
      <w:pPr>
        <w:pStyle w:val="Normal"/>
        <w:spacing w:lineRule="auto" w:line="360"/>
        <w:ind w:start="1440" w:end="72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u w:val="single"/>
          <w:rtl w:val="true"/>
          <w:lang w:eastAsia="he-IL"/>
        </w:rPr>
        <w:t>מדיניות הענישה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  <w:t>: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</w:rPr>
        <w:t>בחינת מדיניות הענישה הנוהגת מעלה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 xml:space="preserve">כי במקרים דומים הוטלו על נאשמים </w:t>
      </w:r>
      <w:r>
        <w:rPr>
          <w:rFonts w:ascii="Times New Roman" w:hAnsi="Times New Roman" w:eastAsia="Times New Roman" w:cs="Times New Roman"/>
          <w:rtl w:val="true"/>
        </w:rPr>
        <w:t>עונשי מאסר בפועל לתקופות משתנות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הצדדים צירפו פסיקה מטעמם כפי שחלקה תובא להלן </w:t>
      </w:r>
      <w:r>
        <w:rPr>
          <w:rFonts w:eastAsia="Times New Roman" w:cs="Times New Roman" w:ascii="Times New Roman" w:hAnsi="Times New Roman"/>
          <w:rtl w:val="true"/>
        </w:rPr>
        <w:t>: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11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4329/10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פלוני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25/10/10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החזקת נשק ונשיאתו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שירות המבחן המליץ להסתפק במאסר בעבודות שירות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נגזרו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lang w:eastAsia="he-IL"/>
        </w:rPr>
        <w:t>20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eastAsia="Times New Roman" w:cs="Times New Roman" w:ascii="Times New Roman" w:hAnsi="Times New Roman"/>
          <w:lang w:eastAsia="he-IL"/>
        </w:rPr>
        <w:t>16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 מאסר על תנאי וקנס בסך </w:t>
      </w:r>
      <w:r>
        <w:rPr>
          <w:rFonts w:eastAsia="Times New Roman" w:cs="Times New Roman" w:ascii="Times New Roman" w:hAnsi="Times New Roman"/>
          <w:lang w:eastAsia="he-IL"/>
        </w:rPr>
        <w:t>10,000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₪. </w:t>
      </w:r>
      <w:r>
        <w:rPr>
          <w:rFonts w:ascii="Times New Roman" w:hAnsi="Times New Roman" w:eastAsia="Times New Roman" w:cs="Times New Roman"/>
          <w:rtl w:val="true"/>
          <w:lang w:eastAsia="he-IL"/>
        </w:rPr>
        <w:t>צעיר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סטודנט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נעדר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העליון דחה את ערעורו על חומרת העונש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/>
        <w:ind w:start="36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12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28889-07-14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אבו 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מיס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21/09/14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החזקת נשק ונשיאתו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כניסה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שהייה בלתי חוקית ושימוש במסמך מזויף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בגין עבירת הנשק נגזרו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eastAsia="Times New Roman" w:cs="Times New Roman" w:ascii="Times New Roman" w:hAnsi="Times New Roman"/>
          <w:lang w:eastAsia="he-IL"/>
        </w:rPr>
        <w:t>24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נקבע מתחם עונש הולם בין </w:t>
      </w:r>
      <w:r>
        <w:rPr>
          <w:rFonts w:eastAsia="Times New Roman" w:cs="Times New Roman" w:ascii="Times New Roman" w:hAnsi="Times New Roman"/>
          <w:lang w:eastAsia="he-IL"/>
        </w:rPr>
        <w:t>12-36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צעיר בעל עבר פלילי שאינו מכביד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13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13401-03-12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ורי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07/06/12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החזקת נשק שלא כדין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נשיאת נשק והובלתו ויריות באזור מגורים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צעיר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ללא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נגזרו </w:t>
      </w:r>
      <w:r>
        <w:rPr>
          <w:rFonts w:eastAsia="Times New Roman" w:cs="Times New Roman" w:ascii="Times New Roman" w:hAnsi="Times New Roman"/>
          <w:lang w:eastAsia="he-IL"/>
        </w:rPr>
        <w:t>20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14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31862-05-13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מוחמד מחאמיד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01/10/13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נשיאת נשק והפרעה לשוטר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נקבע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כי מתחם העונש ההולם נע בין </w:t>
      </w:r>
      <w:r>
        <w:rPr>
          <w:rFonts w:eastAsia="Times New Roman" w:cs="Times New Roman" w:ascii="Times New Roman" w:hAnsi="Times New Roman"/>
          <w:lang w:eastAsia="he-IL"/>
        </w:rPr>
        <w:t>12-36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 מאסר ונגזרו </w:t>
      </w:r>
      <w:r>
        <w:rPr>
          <w:rFonts w:eastAsia="Times New Roman" w:cs="Times New Roman" w:ascii="Times New Roman" w:hAnsi="Times New Roman"/>
          <w:lang w:eastAsia="he-IL"/>
        </w:rPr>
        <w:t>21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צעיר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בן פחות מ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21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נעדר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</w:rPr>
        <w:t>ב</w:t>
      </w:r>
      <w:r>
        <w:rPr>
          <w:rFonts w:eastAsia="Times New Roman" w:cs="Times New Roman" w:ascii="Times New Roman" w:hAnsi="Times New Roman"/>
          <w:sz w:val="20"/>
          <w:rtl w:val="true"/>
        </w:rPr>
        <w:t>"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כ המאשימה אזכר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בין היתר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 xml:space="preserve">את הפסיקה הבאה מטעמו </w:t>
      </w:r>
      <w:r>
        <w:rPr>
          <w:rFonts w:eastAsia="Times New Roman" w:cs="Times New Roman" w:ascii="Times New Roman" w:hAnsi="Times New Roman"/>
          <w:sz w:val="20"/>
          <w:rtl w:val="true"/>
        </w:rPr>
        <w:t>: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rtl w:val="true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15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9373/10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חמד ותד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14/09/11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החזקת נשק ונשיאתו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נגזרו </w:t>
      </w:r>
      <w:r>
        <w:rPr>
          <w:rFonts w:eastAsia="Times New Roman" w:cs="Times New Roman" w:ascii="Times New Roman" w:hAnsi="Times New Roman"/>
          <w:lang w:eastAsia="he-IL"/>
        </w:rPr>
        <w:t>50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העליון קיבל את ערעורו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הפחית בעונשו וגזר עליו </w:t>
      </w:r>
      <w:r>
        <w:rPr>
          <w:rFonts w:eastAsia="Times New Roman" w:cs="Times New Roman" w:ascii="Times New Roman" w:hAnsi="Times New Roman"/>
          <w:lang w:eastAsia="he-IL"/>
        </w:rPr>
        <w:t>30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המערער בעל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העליון הדגיש כי 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מקובלת עלינו ההשקפה אותה הביע השופט המלומד כי הגיעה העת להחמיר בענישתם של המבצעים עבירות בנשק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אולם ראוי שהדבר ייעשה בהדרגה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...".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המדובר בשנת </w:t>
      </w:r>
      <w:r>
        <w:rPr>
          <w:rFonts w:eastAsia="Times New Roman" w:cs="Times New Roman" w:ascii="Times New Roman" w:hAnsi="Times New Roman"/>
          <w:lang w:eastAsia="he-IL"/>
        </w:rPr>
        <w:t>2011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napToGrid w:val="false"/>
        <w:spacing w:lineRule="auto" w:line="360"/>
        <w:ind w:start="36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417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hyperlink r:id="rId16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135/17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סמיר בסל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8/3/17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החזקה ונשיאת 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נגזרו </w:t>
      </w:r>
      <w:r>
        <w:rPr>
          <w:rFonts w:eastAsia="Times New Roman" w:cs="Times New Roman" w:ascii="Times New Roman" w:hAnsi="Times New Roman"/>
          <w:lang w:eastAsia="he-IL"/>
        </w:rPr>
        <w:t>12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העליון החמיר בעונשו של המערער והעמידו על </w:t>
      </w:r>
      <w:r>
        <w:rPr>
          <w:rFonts w:eastAsia="Times New Roman" w:cs="Times New Roman" w:ascii="Times New Roman" w:hAnsi="Times New Roman"/>
          <w:lang w:eastAsia="he-IL"/>
        </w:rPr>
        <w:t>18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 מאסר בקבעו כי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הצדדים הציגו הן לפני בית משפט המחוזי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הן בדיון שלפנינו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פסקי דין רבים התומכים כל אחד בשיטתו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זה בכה וזה בכה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לעניין רמת הענישה הנוהגת ביחס לעבירות החזקת נשק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ידוע הקושי להסיק את רמת הענישה הנוהגת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שעה שכל גזר דין מושפע מן הנסיבות הייחודיות של המעשה ושל העושה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ולא הרי זה כהרי זה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מכל מקום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אף שסנגורו של בסל הציג לפנינו פסקי דין שבהם נקבעה רמת ענישה הדומה  במידה מסויימת לענייננו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דומני כי הצדק עם המדינה בטענתה שרמת הענישה המקובלת בעת האחרונה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והראויה בשים לב למגמת ההחמרה עליה עמדתי לעיל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גבוהה באופן ניכר מזו שנגזרה בעניין דנן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".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b/>
          <w:bCs/>
          <w:sz w:val="20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sz w:val="20"/>
          <w:lang w:eastAsia="he-IL"/>
        </w:rPr>
      </w:pPr>
      <w:hyperlink r:id="rId17">
        <w:r>
          <w:rPr>
            <w:rStyle w:val="Hyperlink"/>
            <w:rFonts w:ascii="Times New Roman" w:hAnsi="Times New Roman" w:eastAsia="Times New Roman" w:cs="Times New Roman"/>
            <w:color w:val="0000FF"/>
            <w:sz w:val="20"/>
            <w:sz w:val="20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sz w:val="20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0"/>
            <w:sz w:val="20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sz w:val="20"/>
            <w:u w:val="single"/>
            <w:lang w:eastAsia="he-IL"/>
          </w:rPr>
          <w:t>3632/14</w:t>
        </w:r>
      </w:hyperlink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אנואר אבו סבית נ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sz w:val="20"/>
          <w:lang w:eastAsia="he-IL"/>
        </w:rPr>
        <w:t>8/12/14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) –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בית המשפט העליון דחה ערעורו של המערער על גזר דינו של בית המשפט המחוזי במסגרתו הושתו עליו </w:t>
      </w:r>
      <w:r>
        <w:rPr>
          <w:rFonts w:eastAsia="Times New Roman" w:cs="Times New Roman" w:ascii="Times New Roman" w:hAnsi="Times New Roman"/>
          <w:sz w:val="20"/>
          <w:lang w:eastAsia="he-IL"/>
        </w:rPr>
        <w:t>18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חודשי מאסר בגין החזקת נשק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עוד נקבע כי המתחם אשר נע בין </w:t>
      </w:r>
      <w:r>
        <w:rPr>
          <w:rFonts w:eastAsia="Times New Roman" w:cs="Times New Roman" w:ascii="Times New Roman" w:hAnsi="Times New Roman"/>
          <w:sz w:val="20"/>
          <w:lang w:eastAsia="he-IL"/>
        </w:rPr>
        <w:t>12-36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הינו </w:t>
      </w:r>
      <w:r>
        <w:rPr>
          <w:rFonts w:ascii="Times New Roman" w:hAnsi="Times New Roman" w:eastAsia="Times New Roman" w:cs="Times New Roman"/>
          <w:rtl w:val="true"/>
          <w:lang w:eastAsia="he-IL"/>
        </w:rPr>
        <w:t>מתחם הענישה המקובל כיום בעבירות אלה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המערער צעיר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נעדר עבר פלילי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>.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18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3288/14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מרדכי מטיאל קריספיל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24/08/14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החזקת נשק בלא רשות והחזקת נכס החשוד כגנוב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נקבע כי מתחם העונש ההולם נע בין </w:t>
      </w:r>
      <w:r>
        <w:rPr>
          <w:rFonts w:eastAsia="Times New Roman" w:cs="Times New Roman" w:ascii="Times New Roman" w:hAnsi="Times New Roman"/>
          <w:lang w:eastAsia="he-IL"/>
        </w:rPr>
        <w:t>6-22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 מאסר ונגזרו </w:t>
      </w:r>
      <w:r>
        <w:rPr>
          <w:rFonts w:eastAsia="Times New Roman" w:cs="Times New Roman" w:ascii="Times New Roman" w:hAnsi="Times New Roman"/>
          <w:lang w:eastAsia="he-IL"/>
        </w:rPr>
        <w:t>9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העליון קיבל את ערעור המדינה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וגזר עליו </w:t>
      </w:r>
      <w:r>
        <w:rPr>
          <w:rFonts w:eastAsia="Times New Roman" w:cs="Times New Roman" w:ascii="Times New Roman" w:hAnsi="Times New Roman"/>
          <w:lang w:eastAsia="he-IL"/>
        </w:rPr>
        <w:t>18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.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העליון הדגיש כי על אף גילו הצעיר הוא נושא על גבו עבר פלילי שאיננו מבוטל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417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19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5604/11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נידאל נאסר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05/10/11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החזקת נשק ותחמושת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המדובר בנשק לא תקין ולא שמיש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נגזרו </w:t>
      </w:r>
      <w:r>
        <w:rPr>
          <w:rFonts w:eastAsia="Times New Roman" w:cs="Times New Roman" w:ascii="Times New Roman" w:hAnsi="Times New Roman"/>
          <w:lang w:eastAsia="he-IL"/>
        </w:rPr>
        <w:t>12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העליון דחה את ערעורו בקבעו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כי העונש ראוי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בעל עבר פלילי לא מכביד ותסקיר שירות המבחן חיובי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הנאשם אזכר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בין היתר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את הפסיקה הבאה מטעמו</w:t>
      </w:r>
      <w:r>
        <w:rPr>
          <w:rFonts w:eastAsia="Times New Roman" w:cs="Times New Roman" w:ascii="Times New Roman" w:hAnsi="Times New Roman"/>
          <w:rtl w:val="true"/>
        </w:rPr>
        <w:t>:</w:t>
      </w:r>
    </w:p>
    <w:p>
      <w:pPr>
        <w:pStyle w:val="Normal"/>
        <w:snapToGrid w:val="false"/>
        <w:spacing w:lineRule="auto" w:line="360"/>
        <w:ind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417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20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4945/13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עבד אלכרים סלימאן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19/01/14</w:t>
      </w:r>
      <w:r>
        <w:rPr>
          <w:rFonts w:eastAsia="Times New Roman" w:cs="Times New Roman" w:ascii="Times New Roman" w:hAnsi="Times New Roman"/>
          <w:rtl w:val="true"/>
          <w:lang w:eastAsia="he-IL"/>
        </w:rPr>
        <w:t>) (</w:t>
      </w:r>
      <w:r>
        <w:rPr>
          <w:rFonts w:ascii="Times New Roman" w:hAnsi="Times New Roman" w:eastAsia="Times New Roman" w:cs="Times New Roman"/>
          <w:rtl w:val="true"/>
          <w:lang w:eastAsia="he-IL"/>
        </w:rPr>
        <w:t>להלן</w:t>
      </w:r>
      <w:r>
        <w:rPr>
          <w:rFonts w:eastAsia="Times New Roman" w:cs="Times New Roman" w:ascii="Times New Roman" w:hAnsi="Times New Roman"/>
          <w:rtl w:val="true"/>
          <w:lang w:eastAsia="he-IL"/>
        </w:rPr>
        <w:t>: 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פס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ד סלימאן</w:t>
      </w:r>
      <w:r>
        <w:rPr>
          <w:rFonts w:eastAsia="Times New Roman" w:cs="Times New Roman" w:ascii="Times New Roman" w:hAnsi="Times New Roman"/>
          <w:rtl w:val="true"/>
          <w:lang w:eastAsia="he-IL"/>
        </w:rPr>
        <w:t>")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רכישת נשק ותחמושת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החזקתם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נשיאתם והובלתם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נגזרו </w:t>
      </w:r>
      <w:r>
        <w:rPr>
          <w:rFonts w:eastAsia="Times New Roman" w:cs="Times New Roman" w:ascii="Times New Roman" w:hAnsi="Times New Roman"/>
          <w:lang w:eastAsia="he-IL"/>
        </w:rPr>
        <w:t>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בעבודות שירות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אומנם בסופו של יום בית המשפט העליון הותיר את העונש על כנו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אולם סיכם במסגרתו את מתחם העונש ההולם בעבירות 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מפי כב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rtl w:val="true"/>
          <w:lang w:eastAsia="he-IL"/>
        </w:rPr>
        <w:t>הש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ארבל 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start="720" w:end="0"/>
        <w:jc w:val="both"/>
        <w:rPr/>
      </w:pP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לטעמי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,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מתחם העונש שקבע בית המשפט המחוזי לעבירות שבהן הורשע המשיב – מאסר בפועל לריצוי בעבודות שירות ועד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20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 – הוא מקל יתר על המידה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כטענת המערערת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ועל כן דרוש התערבות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...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עצם החזקת נשק בעל פוטנציאל קטילה מבלי שיש עליו ועל בעליו פיקוח מוסדר של הרשויות טומן בחובו סיכון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באשר המחזיק בו נתון תמיד לחשש שיתפתה לעשות בו שימוש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 xml:space="preserve">ולו ברגעי לחץ ופחד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...</w:t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עוד ציינה הש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ארבל כי עיון במקרים דומים בפסיקה מגלה כי בכולם נגזרו עונשי מאסר לריצוי מאחורי סורג ובריח ורובם נעים סביב </w:t>
      </w:r>
      <w:r>
        <w:rPr>
          <w:rFonts w:eastAsia="Times New Roman" w:cs="Times New Roman" w:ascii="Times New Roman" w:hAnsi="Times New Roman"/>
          <w:lang w:eastAsia="he-IL"/>
        </w:rPr>
        <w:t>20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חודשים ואף בחרה לאזכר את חלקם </w:t>
      </w:r>
      <w:r>
        <w:rPr>
          <w:rFonts w:eastAsia="Times New Roman" w:cs="Times New Roman" w:ascii="Times New Roman" w:hAnsi="Times New Roman"/>
          <w:rtl w:val="true"/>
          <w:lang w:eastAsia="he-IL"/>
        </w:rPr>
        <w:t>:</w:t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start="720" w:end="0"/>
        <w:jc w:val="both"/>
        <w:rPr/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ב</w:t>
      </w:r>
      <w:hyperlink r:id="rId21"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b/>
            <w:bCs/>
            <w:color w:val="0000FF"/>
            <w:u w:val="single"/>
            <w:lang w:eastAsia="he-IL"/>
          </w:rPr>
          <w:t>2892/13</w:t>
        </w:r>
      </w:hyperlink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עודתאללה נ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 xml:space="preserve">מדינת ישראל 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>] (</w:t>
      </w:r>
      <w:r>
        <w:rPr>
          <w:rFonts w:eastAsia="Times New Roman" w:cs="Times New Roman" w:ascii="Times New Roman" w:hAnsi="Times New Roman"/>
          <w:b/>
          <w:bCs/>
          <w:u w:val="single"/>
          <w:lang w:eastAsia="he-IL"/>
        </w:rPr>
        <w:t>29.9.2013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>)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דובר במערער שנהג ברכבו כשהוא מוביל ונושא אקדח עם מחסנית ריקה תחת מושבו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משהבחין בחסימה משטרתית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סטה המערער מנתיבו ועצר את הרכב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השוטרים הגיעו אל הרכב ומצאו את האקדח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בפי המערער לא היה הסבר המניח את הדעת לפשר החזקת הנשק והמניע לכך נותר עמום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מתחם העונש שנקבע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ובו לא מצאתי להתערב בגדר הערעור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עמד על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12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עד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36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גם בעונש שהוטל על המערער –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21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 בצירוף ענישה נלווית – לא ראיתי להתערב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יצוין כי דובר בבחור צעיר ונורמטיבי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start="720" w:end="0"/>
        <w:jc w:val="both"/>
        <w:rPr/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ב</w:t>
      </w:r>
      <w:hyperlink r:id="rId22"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b/>
            <w:bCs/>
            <w:color w:val="0000FF"/>
            <w:u w:val="single"/>
            <w:lang w:eastAsia="he-IL"/>
          </w:rPr>
          <w:t>4329/10</w:t>
        </w:r>
      </w:hyperlink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אסמאעיל נ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 xml:space="preserve">מדינת ישראל 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>] (</w:t>
      </w:r>
      <w:r>
        <w:rPr>
          <w:rFonts w:eastAsia="Times New Roman" w:cs="Times New Roman" w:ascii="Times New Roman" w:hAnsi="Times New Roman"/>
          <w:b/>
          <w:bCs/>
          <w:u w:val="single"/>
          <w:lang w:eastAsia="he-IL"/>
        </w:rPr>
        <w:t>14.11.2010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>)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(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שאותו הזכיר גם בית המשפט קמא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החזיק ונשא המערער אקדח טעון במצב נצור ברכבו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גם במקרה זה לא הוצע הסבר להחזקת הנשק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על המערער הוטלו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20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 בצירוף ענישה נלווית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חרף המלצת שירות המבחן להשית עליו מאסר בעבודות שירות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ואף שדובר בבחור צעיר ונורמטיבי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ללא עבר פלילי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שהודה במיוחס לו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בית המשפט העליון לא התערב בעונש שנגזר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". </w:t>
      </w:r>
    </w:p>
    <w:p>
      <w:pPr>
        <w:pStyle w:val="Normal"/>
        <w:snapToGrid w:val="false"/>
        <w:spacing w:lineRule="auto" w:line="360"/>
        <w:ind w:start="720"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>בסיום החלטתה קבעה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אני סבורה כי מתחם העונש ההולם בענייננו נע בין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12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36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לטעמי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ככלל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בעבירות מהסוג הנדון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לא ניתן להסתפק בעונש של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20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ברף העליון של המתחם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ויש להגמישו כלפי מעלה באופן שיאפשר הטלת עונשים חמורים יותר על נאשמים שנסיבותיהם מצדיקות זאת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".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417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23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1505/14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אחמד לידאוי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24/07/14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עבירות 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מעשה פזיזות ורשלנות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הפרעה לשוטר במילוי תפקידו והחזקת רכוש החשוד כגנוב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נקבע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כי מתחם העונש ההולם נע בין </w:t>
      </w:r>
      <w:r>
        <w:rPr>
          <w:rFonts w:eastAsia="Times New Roman" w:cs="Times New Roman" w:ascii="Times New Roman" w:hAnsi="Times New Roman"/>
          <w:lang w:eastAsia="he-IL"/>
        </w:rPr>
        <w:t>7-24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 מאסר ונגזרו </w:t>
      </w:r>
      <w:r>
        <w:rPr>
          <w:rFonts w:eastAsia="Times New Roman" w:cs="Times New Roman" w:ascii="Times New Roman" w:hAnsi="Times New Roman"/>
          <w:lang w:eastAsia="he-IL"/>
        </w:rPr>
        <w:t>8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העליון הקל את עונשו ל</w:t>
      </w:r>
      <w:r>
        <w:rPr>
          <w:rFonts w:eastAsia="Times New Roman" w:cs="Times New Roman" w:ascii="Times New Roman" w:hAnsi="Times New Roman"/>
          <w:rtl w:val="true"/>
          <w:lang w:eastAsia="he-IL"/>
        </w:rPr>
        <w:t>-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lang w:eastAsia="he-IL"/>
        </w:rPr>
        <w:t>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עבודות שירות בקבעו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כי הקל עמו בהתחשב בנסיבותיו האישיות המיוחדות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בן </w:t>
      </w:r>
      <w:r>
        <w:rPr>
          <w:rFonts w:eastAsia="Times New Roman" w:cs="Times New Roman" w:ascii="Times New Roman" w:hAnsi="Times New Roman"/>
          <w:lang w:eastAsia="he-IL"/>
        </w:rPr>
        <w:t>60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עברו הפלילי אינו מכביד וסובל מבעיות רפואיות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). </w:t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417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24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7781/11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נדים רך ואח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10/5/12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הנאשם </w:t>
      </w:r>
      <w:r>
        <w:rPr>
          <w:rFonts w:eastAsia="Times New Roman" w:cs="Times New Roman" w:ascii="Times New Roman" w:hAnsi="Times New Roman"/>
          <w:lang w:eastAsia="he-IL"/>
        </w:rPr>
        <w:t>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- </w:t>
      </w:r>
      <w:r>
        <w:rPr>
          <w:rFonts w:ascii="Times New Roman" w:hAnsi="Times New Roman" w:eastAsia="Times New Roman" w:cs="Times New Roman"/>
          <w:rtl w:val="true"/>
          <w:lang w:eastAsia="he-IL"/>
        </w:rPr>
        <w:t>עבירות בנשק ויריות באזור מגורים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נגזרו </w:t>
      </w:r>
      <w:r>
        <w:rPr>
          <w:rFonts w:eastAsia="Times New Roman" w:cs="Times New Roman" w:ascii="Times New Roman" w:hAnsi="Times New Roman"/>
          <w:lang w:eastAsia="he-IL"/>
        </w:rPr>
        <w:t>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בעבודות שירות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אומנם ערעור המדינה נדחה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אולם צוין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כי לא נחה דעתו מקלות העונשים שנגזרו על הנאשמים </w:t>
      </w:r>
      <w:r>
        <w:rPr>
          <w:rFonts w:eastAsia="Times New Roman" w:cs="Times New Roman" w:ascii="Times New Roman" w:hAnsi="Times New Roman"/>
          <w:lang w:eastAsia="he-IL"/>
        </w:rPr>
        <w:t>2-4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אולם יחד עם זאת ציין כי אין מקום להתערב עתה בעונשים שנגזרו עליהם 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המשיב </w:t>
      </w:r>
      <w:r>
        <w:rPr>
          <w:rFonts w:eastAsia="Times New Roman" w:cs="Times New Roman" w:ascii="Times New Roman" w:hAnsi="Times New Roman"/>
          <w:lang w:eastAsia="he-IL"/>
        </w:rPr>
        <w:t>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סיים כבר לרצות את עונשו ושוחרר ממאסר וההלכה היא כי אין מחזירים לכלא נאשם שעונשו הוחמר בערעור לאחר שכבר סיים לרצות את עונש המאסר בהיעדר נסיבות מיוחדות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משכך ציין כי על אף חומרת המעשים אותם ביצע המשיב </w:t>
      </w:r>
      <w:r>
        <w:rPr>
          <w:rFonts w:eastAsia="Times New Roman" w:cs="Times New Roman" w:ascii="Times New Roman" w:hAnsi="Times New Roman"/>
          <w:lang w:eastAsia="he-IL"/>
        </w:rPr>
        <w:t>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ואף אם מלכתחילה יתכן שראוי היה לגזור עליו עונש חמור יותר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לא מתקיימות אותם הנסיבות המצדיקות להחמיר עתה בעונשו ולהשיבו לריצוי מאסר בין כותלי הכלא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משכך ומשלא מצאו מקום להתערב בעונשו של המשיב </w:t>
      </w:r>
      <w:r>
        <w:rPr>
          <w:rFonts w:eastAsia="Times New Roman" w:cs="Times New Roman" w:ascii="Times New Roman" w:hAnsi="Times New Roman"/>
          <w:lang w:eastAsia="he-IL"/>
        </w:rPr>
        <w:t>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קבעו כי אין הצדקה להחמיר גם בעונשם של המשיבים </w:t>
      </w:r>
      <w:r>
        <w:rPr>
          <w:rFonts w:eastAsia="Times New Roman" w:cs="Times New Roman" w:ascii="Times New Roman" w:hAnsi="Times New Roman"/>
          <w:lang w:eastAsia="he-IL"/>
        </w:rPr>
        <w:t>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ו</w:t>
      </w:r>
      <w:r>
        <w:rPr>
          <w:rFonts w:eastAsia="Times New Roman" w:cs="Times New Roman" w:ascii="Times New Roman" w:hAnsi="Times New Roman"/>
          <w:rtl w:val="true"/>
          <w:lang w:eastAsia="he-IL"/>
        </w:rPr>
        <w:t>-</w:t>
      </w:r>
      <w:r>
        <w:rPr>
          <w:rFonts w:eastAsia="Times New Roman" w:cs="Times New Roman" w:ascii="Times New Roman" w:hAnsi="Times New Roman"/>
          <w:lang w:eastAsia="he-IL"/>
        </w:rPr>
        <w:t>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417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25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5521/12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פלוני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23/1/14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נשיאת נשק והחזקתו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איומים ויריות באזור מגורים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נגזרו </w:t>
      </w:r>
      <w:r>
        <w:rPr>
          <w:rFonts w:eastAsia="Times New Roman" w:cs="Times New Roman" w:ascii="Times New Roman" w:hAnsi="Times New Roman"/>
          <w:lang w:eastAsia="he-IL"/>
        </w:rPr>
        <w:t>14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בית המשפט העליון קיבל את הערעור בחלקו כך שעונשו יעמוד על </w:t>
      </w:r>
      <w:r>
        <w:rPr>
          <w:rFonts w:eastAsia="Times New Roman" w:cs="Times New Roman" w:ascii="Times New Roman" w:hAnsi="Times New Roman"/>
          <w:lang w:eastAsia="he-IL"/>
        </w:rPr>
        <w:t>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בעבודות שירות וקבע כי במקרה זה יש לבכר שיקולי השיקום על שיקולי ההרתעה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למערער נסיבות אישיות קשות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ביצע את העבירות בהיותו קטין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עובר תהליך שיקום והיותו נעדר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ind w:start="720" w:end="0"/>
        <w:jc w:val="start"/>
        <w:rPr>
          <w:rFonts w:ascii="Calibri" w:hAnsi="Calibri" w:eastAsia="Times New Roman" w:cs="Times New Roman"/>
          <w:lang w:eastAsia="he-IL"/>
        </w:rPr>
      </w:pPr>
      <w:r>
        <w:rPr>
          <w:rFonts w:eastAsia="Times New Roman" w:cs="Times New Roman" w:ascii="Calibri" w:hAnsi="Calibri"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start="-37"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</w:rPr>
        <w:t>לא למיותר לציין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כי הסנגור צירף מטעמו עוד פסיקה רבה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במסגרתה הושתו על נאשמים עונשים קלים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בין היתר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עונשי מאסר בדרך של עבודות שירות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נוכח הפסיקה אשר הובאה לעיל ובכלל זה פס</w:t>
      </w:r>
      <w:r>
        <w:rPr>
          <w:rFonts w:eastAsia="Times New Roman" w:cs="Times New Roman" w:ascii="Times New Roman" w:hAnsi="Times New Roman"/>
          <w:sz w:val="20"/>
          <w:rtl w:val="true"/>
        </w:rPr>
        <w:t>"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ד סלימאן אשר צורף על ידו ומגמת ההחמרה הברורה בעבירות הנשק בעת האחרונה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סבורני כי מיותר יהא להתייחס לכל אחד מפסקי הדין שצירף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rtl w:val="true"/>
        </w:rPr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ג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הנסיבות הקשורות בביצוע העבירה 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>: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rtl w:val="true"/>
        </w:rPr>
        <w:t>בענייננו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 נגרם נזק ממעשי הנאשם אולם עמדתי לעיל על הנזק שהיה עלול להיגרם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לנוכח הסכנות הנשקפות מזמינותו של נשק חם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באשר לנסיבות ביצוע העבירה מסכים אני עם דברי ב</w:t>
      </w:r>
      <w:r>
        <w:rPr>
          <w:rFonts w:eastAsia="Times New Roman" w:cs="Times New Roman" w:ascii="Times New Roman" w:hAnsi="Times New Roman"/>
          <w:sz w:val="20"/>
          <w:rtl w:val="true"/>
        </w:rPr>
        <w:t>"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כ המאשימה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 xml:space="preserve">כי גרסת הנאשם כפי שזו עלתה בפני שירות המבחן </w:t>
      </w:r>
      <w:r>
        <w:rPr>
          <w:rFonts w:eastAsia="Times New Roman" w:cs="Times New Roman" w:ascii="Times New Roman" w:hAnsi="Times New Roman"/>
          <w:sz w:val="20"/>
          <w:rtl w:val="true"/>
        </w:rPr>
        <w:t>(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יצא ליער לחפש תוכי ומצא נשק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)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הינה גרסה מיתממת ולא הגיונית ולא בכדי התרשם שירות מבחן מחוסר כנות בדבריו</w:t>
      </w:r>
      <w:r>
        <w:rPr>
          <w:rFonts w:eastAsia="Times New Roman" w:cs="Times New Roman" w:ascii="Times New Roman" w:hAnsi="Times New Roman"/>
          <w:sz w:val="20"/>
          <w:rtl w:val="true"/>
        </w:rPr>
        <w:t>.</w:t>
      </w:r>
    </w:p>
    <w:p>
      <w:pPr>
        <w:pStyle w:val="Normal"/>
        <w:snapToGrid w:val="false"/>
        <w:spacing w:lineRule="auto" w:line="360"/>
        <w:ind w:start="-37"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rtl w:val="true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</w:rPr>
        <w:t>נוכח האמור לעיל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 xml:space="preserve">מתחם הענישה ההולם את מעשי הנאשם נע בין </w:t>
      </w:r>
      <w:r>
        <w:rPr>
          <w:rFonts w:eastAsia="Times New Roman" w:cs="Times New Roman" w:ascii="Times New Roman" w:hAnsi="Times New Roman"/>
          <w:sz w:val="20"/>
        </w:rPr>
        <w:t>12-36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חודשי מאסר בפועל ועונשים נלווים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rtl w:val="true"/>
        </w:rPr>
      </w:r>
    </w:p>
    <w:p>
      <w:pPr>
        <w:pStyle w:val="Normal"/>
        <w:numPr>
          <w:ilvl w:val="0"/>
          <w:numId w:val="0"/>
        </w:numPr>
        <w:snapToGrid w:val="false"/>
        <w:spacing w:lineRule="auto" w:line="360"/>
        <w:ind w:hanging="0" w:start="0" w:end="0"/>
        <w:jc w:val="both"/>
        <w:outlineLvl w:val="0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u w:val="single"/>
          <w:rtl w:val="true"/>
          <w:lang w:eastAsia="he-IL"/>
        </w:rPr>
        <w:t>גזירת העונש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  <w:t>:</w:t>
      </w:r>
    </w:p>
    <w:p>
      <w:pPr>
        <w:pStyle w:val="Normal"/>
        <w:numPr>
          <w:ilvl w:val="0"/>
          <w:numId w:val="0"/>
        </w:numPr>
        <w:snapToGrid w:val="false"/>
        <w:spacing w:lineRule="auto" w:line="360"/>
        <w:ind w:hanging="0" w:start="0" w:end="0"/>
        <w:jc w:val="both"/>
        <w:outlineLvl w:val="0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</w:rPr>
        <w:t>אתחשב בהודאת הנאשם במיוחס לו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בגילו הצעיר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בנסיבות חייו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ובהיעדר עבר פלילי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כמו כן אקח בחשבון את תקופת המעצר בה היה נתון ולאחריה את תקופת מעצר הבית</w:t>
      </w:r>
      <w:r>
        <w:rPr>
          <w:rFonts w:eastAsia="Times New Roman" w:cs="Times New Roman" w:ascii="Times New Roman" w:hAnsi="Times New Roman"/>
          <w:sz w:val="2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rtl w:val="true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שירות המבחן המליץ להשית על הנאשם ענישה מוחשית בדמות מאסר אשר ירוצה בעבודות שירות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סבורני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בנסיבות התיק דנא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נוכח חומרת העבירה והצורך בהעלאת רף הענישה בעבירות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 אוכל לקבל את המלצת שירות המבחן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rtl w:val="true"/>
        </w:rPr>
        <w:t>בשנים האחרונות ניכרת מגמת החמרה עם עברייני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וזאת בשל הסיכון הגלום רק בעצם החזקתו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בית המשפט העליון חזר על גישתו המחמירה בעבירות נשק ועל הטלת עונשי מאסר לריצוי בפועל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גם על מי שזו לו עבירתו הראשונה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כך קבע ב</w:t>
      </w:r>
      <w:hyperlink r:id="rId26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2718/04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אבו דאחל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ניתן ביום </w:t>
      </w:r>
      <w:r>
        <w:rPr>
          <w:rFonts w:eastAsia="Times New Roman" w:cs="Times New Roman" w:ascii="Times New Roman" w:hAnsi="Times New Roman"/>
        </w:rPr>
        <w:t>29/3/04</w:t>
      </w:r>
      <w:r>
        <w:rPr>
          <w:rFonts w:eastAsia="Times New Roman" w:cs="Times New Roman" w:ascii="Times New Roman" w:hAnsi="Times New Roman"/>
          <w:rtl w:val="true"/>
        </w:rPr>
        <w:t xml:space="preserve">) - 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בבוא בית</w:t>
      </w:r>
      <w:r>
        <w:rPr>
          <w:rFonts w:eastAsia="Times New Roman"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המשפט לשקול את הענישה בעבירות מסוג זה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eastAsia="Times New Roman" w:cs="Times New Roman" w:ascii="Times New Roman" w:hAnsi="Times New Roman"/>
          <w:b/>
          <w:bCs/>
          <w:rtl w:val="true"/>
        </w:rPr>
        <w:t>".</w:t>
      </w:r>
    </w:p>
    <w:p>
      <w:pPr>
        <w:pStyle w:val="Normal"/>
        <w:snapToGrid w:val="false"/>
        <w:spacing w:lineRule="auto" w:line="360"/>
        <w:ind w:start="-37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snapToGrid w:val="false"/>
        <w:spacing w:lineRule="auto" w:line="360"/>
        <w:ind w:start="-37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snapToGrid w:val="false"/>
        <w:spacing w:lineRule="auto" w:line="360"/>
        <w:ind w:start="-37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snapToGrid w:val="false"/>
        <w:spacing w:lineRule="auto" w:line="360"/>
        <w:ind w:start="-37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snapToGrid w:val="false"/>
        <w:spacing w:lineRule="auto" w:line="360"/>
        <w:ind w:start="-37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rtl w:val="true"/>
        </w:rPr>
        <w:t>עוד נקבע ב</w:t>
      </w:r>
      <w:hyperlink r:id="rId27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5681/14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טאטור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ניתן ביום </w:t>
      </w:r>
      <w:r>
        <w:rPr>
          <w:rFonts w:eastAsia="Times New Roman" w:cs="Times New Roman" w:ascii="Times New Roman" w:hAnsi="Times New Roman"/>
        </w:rPr>
        <w:t>01/02/15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>כי</w:t>
      </w:r>
      <w:r>
        <w:rPr>
          <w:rFonts w:eastAsia="Times New Roman" w:cs="Times New Roman" w:ascii="Times New Roman" w:hAnsi="Times New Roman"/>
          <w:rtl w:val="true"/>
        </w:rPr>
        <w:t>: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964" w:end="851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דרך המלך בכגון דא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בסופו של יום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צריכה להיות ככלל מאסר מאחורי סורג ובריח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וזאת בראש וראשונה להרתעת היחיד והרבים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;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אורך התקופה כרוך כמובן בנסיבות הספציפיות של העושה והמעשה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אכן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ערים אנו לכך שלאדם בעל רקע נורמטיבי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וכזה הוא המערער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שהות במאסר אינה קלה כל עיקר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ובהיותו במעצר חוה מקצת הטעם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אך נשק הוא נשק הוא נשק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ובנסיבות הישראליות נשק בידיים לא מורשות עלול להתגלגל למקום לא טוב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וכדברי האומר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מחזה שבמערכתו הראשונה נראה אקדח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עשוי האקדח לירות במערכה האחרונה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';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לא כל שכן כשמקורו של הנשק שבנידון דידן לא נודע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..."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0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</w:rPr>
        <w:t>אין בענייננו הצדקה או אפשרות לחרוג לקולא ממתחם העונש ההולם למטרת שיקום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אף אין בענייננו הצדקה לחרוג לחומרה מן המתחם ההולם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b/>
          <w:bCs/>
          <w:color w:val="000000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eastAsia="Times New Roman"/>
          <w:b/>
          <w:b/>
          <w:bCs/>
          <w:color w:val="000000"/>
          <w:rtl w:val="true"/>
        </w:rPr>
        <w:t>אשר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על</w:t>
      </w:r>
      <w:r>
        <w:rPr>
          <w:rFonts w:eastAsia="Times New Roman"/>
          <w:b/>
          <w:bCs/>
          <w:color w:val="000000"/>
          <w:rtl w:val="true"/>
        </w:rPr>
        <w:t>-</w:t>
      </w:r>
      <w:r>
        <w:rPr>
          <w:rFonts w:eastAsia="Times New Roman"/>
          <w:b/>
          <w:b/>
          <w:bCs/>
          <w:color w:val="000000"/>
          <w:rtl w:val="true"/>
        </w:rPr>
        <w:t>כן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הנני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גוזר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על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הנאשם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את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העונשים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הבאים</w:t>
      </w:r>
      <w:r>
        <w:rPr>
          <w:rFonts w:eastAsia="Times New Roman"/>
          <w:b/>
          <w:bCs/>
          <w:color w:val="000000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אני מטיל על הנאשם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18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בניכוי ימי מעצרו מיום </w:t>
      </w:r>
      <w:r>
        <w:rPr>
          <w:rFonts w:eastAsia="Times New Roman" w:cs="Calibri" w:ascii="Calibri" w:hAnsi="Calibri"/>
          <w:b/>
          <w:bCs/>
          <w:lang w:eastAsia="he-IL"/>
        </w:rPr>
        <w:t>22.6.16</w:t>
      </w:r>
      <w:r>
        <w:rPr>
          <w:rFonts w:eastAsia="Times New Roman"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>ועד</w:t>
      </w:r>
      <w:r>
        <w:rPr>
          <w:rFonts w:ascii="Calibri" w:hAnsi="Calibri" w:eastAsia="Times New Roman" w:cs="Calibri"/>
          <w:b/>
          <w:b/>
          <w:bCs/>
          <w:rtl w:val="true"/>
          <w:lang w:eastAsia="he-IL"/>
        </w:rPr>
        <w:t xml:space="preserve"> </w:t>
      </w:r>
      <w:r>
        <w:rPr>
          <w:rFonts w:eastAsia="Times New Roman" w:cs="Calibri" w:ascii="Calibri" w:hAnsi="Calibri"/>
          <w:b/>
          <w:bCs/>
          <w:lang w:eastAsia="he-IL"/>
        </w:rPr>
        <w:t>3.8.16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אני מטיל על הנאשם מאסר על תנאי של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12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חודשים למשך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3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שנים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שלא יעבור על כל עבירה הקשורה בנשק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אני פוסל את הנאשם מלקבל ומלהחזיק רישיון נהיגה לתקופה של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12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חודשים בפועל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אני מטיל על הנאשם קנס בסך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2,000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 או חודשיים מאסר תמורתו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הקנס ישולם ב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-</w:t>
      </w:r>
      <w:r>
        <w:rPr>
          <w:rFonts w:eastAsia="Times New Roman" w:cs="Times New Roman" w:ascii="Times New Roman" w:hAnsi="Times New Roman"/>
          <w:b/>
          <w:bCs/>
          <w:lang w:eastAsia="he-IL"/>
        </w:rPr>
        <w:t>4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תשלומים חודשיים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תשלום ראשון בעוד חודש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במידה ולא ישולם תשלום אחד מבין התשלומים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יעמוד כל הקנס לפירעון מידי ובמידה ולא ישלמו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ירצה ימי המאסר תחת הקנס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במידה והופקדו כספים במסגרת תיק זה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יש לקזזם עם הקנס ואת היתרה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באם קיימת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יש להשיב לנאשם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 xml:space="preserve">זכות ערעור תוך </w:t>
      </w:r>
      <w:r>
        <w:rPr>
          <w:rFonts w:eastAsia="Times New Roman" w:cs="Times New Roman" w:ascii="Times New Roman" w:hAnsi="Times New Roman"/>
          <w:b/>
          <w:bCs/>
          <w:u w:val="single"/>
        </w:rPr>
        <w:t>45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יום מהיום לבית המשפט העליון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סיוון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12/06/2017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 xml:space="preserve">     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אזולאי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b/>
          <w:b/>
          <w:bCs/>
          <w:u w:val="single"/>
          <w:rtl w:val="true"/>
        </w:rPr>
        <w:t>הסנגור</w:t>
      </w:r>
      <w:r>
        <w:rPr>
          <w:rFonts w:eastAsia="Times New Roman"/>
          <w:rtl w:val="true"/>
        </w:rPr>
        <w:t>: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אבקש עיכוב ביצוע לצורך מיון מוקדם וכן לשקול הגשת ערעור לביהמ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ש העליון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 xml:space="preserve">אבקש מיון מוקדם בתוך </w:t>
      </w:r>
      <w:r>
        <w:rPr>
          <w:rFonts w:eastAsia="Times New Roman"/>
        </w:rPr>
        <w:t>21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ימי עבודה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יש הפקדה בתיק ועיכוב יציאה מהארץ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b/>
          <w:b/>
          <w:bCs/>
          <w:u w:val="single"/>
          <w:rtl w:val="true"/>
        </w:rPr>
        <w:t>ב</w:t>
      </w:r>
      <w:r>
        <w:rPr>
          <w:rFonts w:eastAsia="Times New Roman"/>
          <w:b/>
          <w:bCs/>
          <w:u w:val="single"/>
          <w:rtl w:val="true"/>
        </w:rPr>
        <w:t>"</w:t>
      </w:r>
      <w:r>
        <w:rPr>
          <w:rFonts w:eastAsia="Times New Roman"/>
          <w:b/>
          <w:b/>
          <w:bCs/>
          <w:u w:val="single"/>
          <w:rtl w:val="true"/>
        </w:rPr>
        <w:t>כ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המאשימה</w:t>
      </w:r>
      <w:r>
        <w:rPr>
          <w:rFonts w:eastAsia="Times New Roman"/>
          <w:rtl w:val="true"/>
        </w:rPr>
        <w:t>: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באשר לבקשת חברי לצורך דחייה למיון מוקדם לדחיה ארוכה יותר נתנגד לעיכוב ביצוע העונש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וזאת לאור העובדה שהערעור יוגש ככל הנראה אך ורק על חומרת העונש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והנאשם הודה בכתב האישום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 xml:space="preserve">אני מחליט לעכב את תחילת ריצוי המאסר עד לתאריך </w:t>
      </w:r>
      <w:r>
        <w:rPr>
          <w:rFonts w:cs="Arial" w:ascii="Arial" w:hAnsi="Arial"/>
          <w:color w:val="000000"/>
        </w:rPr>
        <w:t>04.07.17</w:t>
      </w:r>
      <w:r>
        <w:rPr>
          <w:rFonts w:cs="Arial" w:ascii="Arial" w:hAnsi="Aria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>במועד זה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במידה ולא תהיה החלטה אחרת של בית המשפט העליון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יתייצב הנאשם לריצוי מאסרו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כשהוא מצויד בתעודה מזהה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בבית המעצר צלמון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 xml:space="preserve">לא יאוחר מהשעה </w:t>
      </w:r>
      <w:r>
        <w:rPr>
          <w:rFonts w:cs="Arial" w:ascii="Arial" w:hAnsi="Arial"/>
          <w:color w:val="000000"/>
        </w:rPr>
        <w:t>12:00</w:t>
      </w:r>
      <w:r>
        <w:rPr>
          <w:rFonts w:cs="Arial" w:ascii="Arial" w:hAnsi="Arial"/>
          <w:color w:val="000000"/>
          <w:rtl w:val="true"/>
        </w:rPr>
        <w:t xml:space="preserve">,  </w:t>
      </w:r>
      <w:r>
        <w:rPr>
          <w:rFonts w:ascii="Arial" w:hAnsi="Arial" w:cs="Arial"/>
          <w:color w:val="000000"/>
          <w:rtl w:val="true"/>
        </w:rPr>
        <w:t>אלא אם כן עבר מיון מוקדם בהתאם לנוהל שב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ס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  <w:u w:val="single"/>
        </w:rPr>
      </w:pPr>
      <w:r>
        <w:rPr>
          <w:rFonts w:cs="Arial" w:ascii="Arial" w:hAnsi="Arial"/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ביכולתו של הנאשם או ב</w:t>
      </w:r>
      <w:r>
        <w:rPr>
          <w:b/>
          <w:bCs/>
          <w:color w:val="000000"/>
          <w:u w:val="single"/>
          <w:rtl w:val="true"/>
        </w:rPr>
        <w:t>"</w:t>
      </w:r>
      <w:r>
        <w:rPr>
          <w:b/>
          <w:b/>
          <w:bCs/>
          <w:color w:val="000000"/>
          <w:u w:val="single"/>
          <w:rtl w:val="true"/>
        </w:rPr>
        <w:t>כ ליצור קשר ישירות עם רס</w:t>
      </w:r>
      <w:r>
        <w:rPr>
          <w:b/>
          <w:bCs/>
          <w:color w:val="000000"/>
          <w:u w:val="single"/>
          <w:rtl w:val="true"/>
        </w:rPr>
        <w:t>"</w:t>
      </w:r>
      <w:r>
        <w:rPr>
          <w:b/>
          <w:b/>
          <w:bCs/>
          <w:color w:val="000000"/>
          <w:u w:val="single"/>
          <w:rtl w:val="true"/>
        </w:rPr>
        <w:t>ר ניצה יעקב</w:t>
      </w:r>
      <w:r>
        <w:rPr>
          <w:b/>
          <w:bCs/>
          <w:color w:val="000000"/>
          <w:u w:val="single"/>
          <w:rtl w:val="true"/>
        </w:rPr>
        <w:t xml:space="preserve">, </w:t>
      </w:r>
      <w:r>
        <w:rPr>
          <w:b/>
          <w:b/>
          <w:bCs/>
          <w:color w:val="000000"/>
          <w:u w:val="single"/>
          <w:rtl w:val="true"/>
        </w:rPr>
        <w:t>נציגת שב</w:t>
      </w:r>
      <w:r>
        <w:rPr>
          <w:b/>
          <w:bCs/>
          <w:color w:val="000000"/>
          <w:u w:val="single"/>
          <w:rtl w:val="true"/>
        </w:rPr>
        <w:t>"</w:t>
      </w:r>
      <w:r>
        <w:rPr>
          <w:b/>
          <w:b/>
          <w:bCs/>
          <w:color w:val="000000"/>
          <w:u w:val="single"/>
          <w:rtl w:val="true"/>
        </w:rPr>
        <w:t>ס</w:t>
      </w:r>
      <w:r>
        <w:rPr>
          <w:b/>
          <w:bCs/>
          <w:color w:val="000000"/>
          <w:u w:val="single"/>
          <w:rtl w:val="true"/>
        </w:rPr>
        <w:t xml:space="preserve">, </w:t>
      </w:r>
      <w:r>
        <w:rPr>
          <w:b/>
          <w:b/>
          <w:bCs/>
          <w:color w:val="000000"/>
          <w:u w:val="single"/>
          <w:rtl w:val="true"/>
        </w:rPr>
        <w:t>בטל</w:t>
      </w:r>
      <w:r>
        <w:rPr>
          <w:b/>
          <w:bCs/>
          <w:color w:val="000000"/>
          <w:u w:val="single"/>
          <w:rtl w:val="true"/>
        </w:rPr>
        <w:t xml:space="preserve">' </w:t>
      </w:r>
      <w:r>
        <w:rPr>
          <w:b/>
          <w:bCs/>
          <w:color w:val="000000"/>
          <w:u w:val="single"/>
        </w:rPr>
        <w:t>08-9787337</w:t>
      </w:r>
      <w:r>
        <w:rPr>
          <w:b/>
          <w:bCs/>
          <w:color w:val="000000"/>
          <w:u w:val="single"/>
          <w:rtl w:val="true"/>
        </w:rPr>
        <w:t xml:space="preserve">, </w:t>
      </w:r>
      <w:r>
        <w:rPr>
          <w:b/>
          <w:b/>
          <w:bCs/>
          <w:color w:val="000000"/>
          <w:u w:val="single"/>
          <w:rtl w:val="true"/>
        </w:rPr>
        <w:t>לצורך מיון מוקדם</w:t>
      </w:r>
      <w:r>
        <w:rPr>
          <w:b/>
          <w:bCs/>
          <w:color w:val="000000"/>
          <w:u w:val="single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המזכירות תעביר העתק ההחלטה לשב</w:t>
      </w:r>
      <w:r>
        <w:rPr>
          <w:b/>
          <w:bCs/>
          <w:color w:val="000000"/>
          <w:u w:val="single"/>
          <w:rtl w:val="true"/>
        </w:rPr>
        <w:t>"</w:t>
      </w:r>
      <w:r>
        <w:rPr>
          <w:b/>
          <w:b/>
          <w:bCs/>
          <w:color w:val="000000"/>
          <w:u w:val="single"/>
          <w:rtl w:val="true"/>
        </w:rPr>
        <w:t>ס</w:t>
      </w:r>
      <w:r>
        <w:rPr>
          <w:b/>
          <w:bCs/>
          <w:color w:val="000000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סיוון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12/06/2017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color w:val="FFFFFF"/>
                <w:sz w:val="2"/>
                <w:szCs w:val="2"/>
                <w:rtl w:val="true"/>
              </w:rPr>
              <w:t xml:space="preserve">     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אזולאי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נאוה</w:t>
      </w:r>
      <w:r>
        <w:rPr>
          <w:rtl w:val="true"/>
        </w:rPr>
        <w:t xml:space="preserve"> </w:t>
      </w:r>
      <w:r>
        <w:rPr>
          <w:rtl w:val="true"/>
        </w:rPr>
        <w:t>בר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color w:val="000000"/>
          <w:sz w:val="22"/>
          <w:szCs w:val="22"/>
        </w:rPr>
        <w:t>54678313-267189/16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פלא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267189/16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64845-06-16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עואודי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2">
    <w:lvl w:ilvl="0">
      <w:start w:val="2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b w:val="false"/>
      <w:bCs w:val="false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Symbol" w:hAnsi="Symbol" w:eastAsia="Times New Roman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David" w:hAnsi="David" w:eastAsia="David" w:cs="David"/>
      <w:sz w:val="24"/>
      <w:szCs w:val="24"/>
    </w:rPr>
  </w:style>
  <w:style w:type="character" w:styleId="CharChar">
    <w:name w:val=" Char Char"/>
    <w:qFormat/>
    <w:rPr>
      <w:rFonts w:ascii="David" w:hAnsi="David" w:eastAsia="David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5601503" TargetMode="External"/><Relationship Id="rId10" Type="http://schemas.openxmlformats.org/officeDocument/2006/relationships/hyperlink" Target="http://www.nevo.co.il/case/6034921" TargetMode="External"/><Relationship Id="rId11" Type="http://schemas.openxmlformats.org/officeDocument/2006/relationships/hyperlink" Target="http://www.nevo.co.il/case/5950172" TargetMode="External"/><Relationship Id="rId12" Type="http://schemas.openxmlformats.org/officeDocument/2006/relationships/hyperlink" Target="http://www.nevo.co.il/case/17062417" TargetMode="External"/><Relationship Id="rId13" Type="http://schemas.openxmlformats.org/officeDocument/2006/relationships/hyperlink" Target="http://www.nevo.co.il/case/4303167" TargetMode="External"/><Relationship Id="rId14" Type="http://schemas.openxmlformats.org/officeDocument/2006/relationships/hyperlink" Target="http://www.nevo.co.il/case/7840699" TargetMode="External"/><Relationship Id="rId15" Type="http://schemas.openxmlformats.org/officeDocument/2006/relationships/hyperlink" Target="http://www.nevo.co.il/case/6151556" TargetMode="External"/><Relationship Id="rId16" Type="http://schemas.openxmlformats.org/officeDocument/2006/relationships/hyperlink" Target="http://www.nevo.co.il/case/22006503" TargetMode="External"/><Relationship Id="rId17" Type="http://schemas.openxmlformats.org/officeDocument/2006/relationships/hyperlink" Target="http://www.nevo.co.il/case/16944929" TargetMode="External"/><Relationship Id="rId18" Type="http://schemas.openxmlformats.org/officeDocument/2006/relationships/hyperlink" Target="http://www.nevo.co.il/case/16913730" TargetMode="External"/><Relationship Id="rId19" Type="http://schemas.openxmlformats.org/officeDocument/2006/relationships/hyperlink" Target="http://www.nevo.co.il/case/6024035" TargetMode="External"/><Relationship Id="rId20" Type="http://schemas.openxmlformats.org/officeDocument/2006/relationships/hyperlink" Target="http://www.nevo.co.il/case/7791493" TargetMode="External"/><Relationship Id="rId21" Type="http://schemas.openxmlformats.org/officeDocument/2006/relationships/hyperlink" Target="http://www.nevo.co.il/case/6949290" TargetMode="External"/><Relationship Id="rId22" Type="http://schemas.openxmlformats.org/officeDocument/2006/relationships/hyperlink" Target="http://www.nevo.co.il/case/5950172" TargetMode="External"/><Relationship Id="rId23" Type="http://schemas.openxmlformats.org/officeDocument/2006/relationships/hyperlink" Target="http://www.nevo.co.il/case/13015506" TargetMode="External"/><Relationship Id="rId24" Type="http://schemas.openxmlformats.org/officeDocument/2006/relationships/hyperlink" Target="http://www.nevo.co.il/case/5603661" TargetMode="External"/><Relationship Id="rId25" Type="http://schemas.openxmlformats.org/officeDocument/2006/relationships/hyperlink" Target="http://www.nevo.co.il/case/5590418" TargetMode="External"/><Relationship Id="rId26" Type="http://schemas.openxmlformats.org/officeDocument/2006/relationships/hyperlink" Target="http://www.nevo.co.il/case/5852404" TargetMode="External"/><Relationship Id="rId27" Type="http://schemas.openxmlformats.org/officeDocument/2006/relationships/hyperlink" Target="http://www.nevo.co.il/case/17954222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2017-06-18T08:34:00Z</dcterms:created>
  <dc:creator> </dc:creator>
  <dc:description/>
  <cp:keywords/>
  <dc:language>en-IL</dc:language>
  <cp:lastModifiedBy>run</cp:lastModifiedBy>
  <dcterms:modified xsi:type="dcterms:W3CDTF">2017-06-18T08:34:00Z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עואודי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ProcID=279;184&amp;PartA=267189&amp;PartC=16</vt:lpwstr>
  </property>
  <property fmtid="{D5CDD505-2E9C-101B-9397-08002B2CF9AE}" pid="9" name="CASESLISTTMP1">
    <vt:lpwstr>5601503;6034921;5950172:2;17062417;4303167;7840699;6151556;22006503;16944929;16913730;6024035;7791493;6949290;13015506;5603661;5590418;5852404;17954222</vt:lpwstr>
  </property>
  <property fmtid="{D5CDD505-2E9C-101B-9397-08002B2CF9AE}" pid="10" name="CITY">
    <vt:lpwstr>נצ'</vt:lpwstr>
  </property>
  <property fmtid="{D5CDD505-2E9C-101B-9397-08002B2CF9AE}" pid="11" name="DATE">
    <vt:lpwstr>20170612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ג'ורג' אזולאי</vt:lpwstr>
  </property>
  <property fmtid="{D5CDD505-2E9C-101B-9397-08002B2CF9AE}" pid="15" name="LAWLISTTMP1">
    <vt:lpwstr>70301/144.b:2</vt:lpwstr>
  </property>
  <property fmtid="{D5CDD505-2E9C-101B-9397-08002B2CF9AE}" pid="16" name="LAWYER">
    <vt:lpwstr>אוהד כהן;מיכאל כרמל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64845</vt:lpwstr>
  </property>
  <property fmtid="{D5CDD505-2E9C-101B-9397-08002B2CF9AE}" pid="23" name="NEWPARTB">
    <vt:lpwstr>06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390020170612</vt:lpwstr>
  </property>
  <property fmtid="{D5CDD505-2E9C-101B-9397-08002B2CF9AE}" pid="35" name="TYPE_N_DATE">
    <vt:lpwstr>39020170612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