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6494-07-14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חגי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טרסי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דורי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אמרני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3" w:name="PsakDin"/>
      <w:bookmarkStart w:id="4" w:name="LawTable"/>
      <w:bookmarkStart w:id="5" w:name="PsakDin"/>
      <w:bookmarkStart w:id="6" w:name="LawTable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FrankRuehl"/>
          <w:color w:val="0000FF"/>
          <w:sz w:val="32"/>
          <w:szCs w:val="32"/>
          <w:u w:val="single"/>
        </w:rPr>
      </w:pPr>
      <w:r>
        <w:rPr>
          <w:rFonts w:cs="FrankRuehl" w:ascii="Arial" w:hAnsi="Arial"/>
          <w:color w:val="0000FF"/>
          <w:sz w:val="32"/>
          <w:szCs w:val="32"/>
          <w:u w:val="single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bookmarkStart w:id="11" w:name="ABSTRACT_START"/>
      <w:bookmarkEnd w:id="11"/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אביזר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ותחמושת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4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</w:rPr>
          <w:t>144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Calibri" w:ascii="Calibri" w:hAnsi="Calibri"/>
            <w:sz w:val="26"/>
            <w:szCs w:val="26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וסיפא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cs="Calibri" w:ascii="Calibri" w:hAnsi="Calibri"/>
          <w:sz w:val="26"/>
          <w:szCs w:val="26"/>
        </w:rPr>
        <w:t>287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א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תשל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ז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1977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cs="Calibri" w:ascii="Calibri" w:hAnsi="Calibri"/>
          <w:sz w:val="26"/>
          <w:szCs w:val="26"/>
          <w:rtl w:val="true"/>
        </w:rPr>
        <w:t xml:space="preserve">").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לשהות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מגבילים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שהושתו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מלא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ברחוב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בפתח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תקווה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שבבוקרו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18.6.14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שוהה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ברחוב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הארז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ובחיפוש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נמצאו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בהחזקתו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גלוק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תואמים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cs="Calibri" w:ascii="Calibri" w:hAnsi="Calibri"/>
          <w:sz w:val="26"/>
          <w:szCs w:val="26"/>
          <w:rtl w:val="true"/>
        </w:rPr>
        <w:t xml:space="preserve">"),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הסליק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מאחורי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במרפסת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ההסדר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הסכמה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בעקבות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התקבל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בהרחבה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תולדותיו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והמשפחתי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49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גרוש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ילדים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השתלבות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המקובלות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מסגרות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חינוכיות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מלימודיו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לימוד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ההתבגרות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ההתמודדות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וכמענה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לחסכיו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ניהל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והתמכרותי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וריצה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בתחום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הרכוש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האלימות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והסמים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1994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בתוכנית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גמילה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וטיפול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בהתמכרות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בהצלחה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כמדריך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למכורים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ששוחרר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1996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שינוי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באורחות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ונמנע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בהמשך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נישא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בחובות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התמודד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ורגשי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שהוביל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לבסוף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לגירושיו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סביב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הגירושין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ובהמשך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גירושיו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הצליח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להתקדם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מהבחינה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הכלכלית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שהשתמש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שקיבל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היתר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לעריכת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נסגר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ונהרס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נתפס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כטראומטי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לתפיסתו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התדרדרות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במצבו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הבריאותי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וכניסתו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הישרדותי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הנוכחיות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הסתדר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התגורר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השחרור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דאג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להחליף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סמוכה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מבלי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למעשיו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להשיבו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למשטרה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משיחה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במצבי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ומשבר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לנקוט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בדפוסים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אימפולסיביים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מסכנים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ושוליים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השגת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מטרותיו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אפשרויות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התנהגות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חלופיות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להתמודדות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סיטואציות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בדיקות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שתן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ובשונה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מדיווחיו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לניקיון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מוחלט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נמצאו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בבדיקות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בנזואידים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התוצאות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הרגעה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רופא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בבוא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בעתיד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לשיקום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ציינה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וילדותי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התמודד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רצף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משברים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ואובדנים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שהובילו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שליטה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וכאוס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פנימי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בתפיסתו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השפעה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ובחירותיו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כקורבן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מצב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ביקורתית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דחיית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סיפוקים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וויסות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דחפים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ההבנה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שמבטא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התנהגותו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ומצבו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לפעול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דפוסים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ושוליים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לקחת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ולפעול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אימפולסיבי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ובעייתי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סיפוק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לצרכיו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נתוניו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למעורבות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חוזרת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בעתיד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כשרמת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צפויה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בינונית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כגורמי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מורכבות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הצליח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להימנע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ממעורבות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1994-2007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שבמצבו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הכוללים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היתר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התנהגותו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האימפולסיבית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הקושי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בהפנמת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גבולות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היעדר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פרנסה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ותעסוקה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וחוסר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הבהירות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התנהגות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והתנהגות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בפרט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ההתרשמות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ממוקד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בהשקעת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ומשאביו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בקידום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והכלכלי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והרושם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טיפולי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בהמלצה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טיפולית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כלשהי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חיוותה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דעתה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עבודות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הולמת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תמחיש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הפסול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במעשיו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תהווה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מרתיע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שיקומי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הדגיש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בטיעוניו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פגיעתו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חברתיים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דוגמת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ובטחונו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וההכרח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החלטות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למאפייני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המיוחדים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שנתגלו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הנוכחי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בוצעו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מגבילים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שהושתו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המתנהל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נגדו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התובע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מטבען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פוטנציאל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לגרימת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ביטחונית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לצדן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ולצדו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וכדורים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תואמים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מרהיב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ובכוונת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שיפוטי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לנתונים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שהושתו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שהגיש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ביהמ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אופק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טיפולי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מתקיימים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כלשהם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המצדיקים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סטייה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שנקבע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קודמות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מעטות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לרבות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בעבריין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רצידיוויסט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קודמים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הרתיעו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להעדיף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האינטרס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ולגזור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13-14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מנגד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שמרבית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הקודמות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ישנות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ממושך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ומשמעותי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נגמל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מדריך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תומכת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לסברה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הסנגור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המלומד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בהרחבה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הוחזק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ובהמשך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שוחרר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ושהה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ארוכים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ההפרה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בהפרה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בוטה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כשנתקל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בקושי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המקורית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להתגורר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סמוכה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להבהיר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מזלזל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השחרור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שנקבעו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לטענתו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כשמדובר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להבדיל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נשיאת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מכירה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הפסיקה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באפשרות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בעבודות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לנקוט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במיוחד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הוחזק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במעצר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לבסוף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שמעתי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באריכות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דברי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נאלץ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להתמודד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המשמעותיים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שעבר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הדגיש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כעשרים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הזדמנות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להשתקם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ולבנות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מבלי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כותלי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ולהשתחרר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אופק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שיקומי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200"/>
        <w:ind w:start="651" w:end="993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מיוחדת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מאדם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המחזיק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מסוכנות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>...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עמד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בנקיטת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רף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המצויות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לכאורה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בשלבים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נמוכים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יחסית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המדרג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נאמר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לעבירת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מקימה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ממשי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וחמור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לציבור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ויוצרת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להסלמה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עבריינית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ולפיכך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מחייבת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ליתן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ומרתיע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הרחקת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מבצע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החברה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לתקופה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מסוימת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."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דבריו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7241/12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טאטור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12.2.13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הנפגעים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הכרוכה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מדיניות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התקיפה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המתחייבת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לטיב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שהוחזק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ולצדו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ושמונה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תואמים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הוסלקו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האופפות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ועיקר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מלא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לשהות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בכתובת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סמוכה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להתגורר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טכנית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בלבד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שינוי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בכתובת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המגורים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לשבש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אכיפת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לפקח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ולמנוע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ידו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לפסיקה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הנוהגת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</w:t>
      </w:r>
      <w:hyperlink r:id="rId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6294/10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אלקיעאן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13.2.11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ונדונו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הולם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ולמרות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שהמליץ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עבודות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49/11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סלאימה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29.6.11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שהחזיק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וכדורים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לשמונה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5604/11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נאסר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5.10.11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שהחזיק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לאקדח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חיובי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מכביד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להזכיר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החלטות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רלבנטיות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לוד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ונידונו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57617-02-14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ריאן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16.11.14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קארל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גוסטב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במחסנית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תואמת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ונגזרו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8-18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18780-06-14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14.9.14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וכדורי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ברכבו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החזקת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כדורים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ומחסנית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39796-06-12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חטיב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20.3.13</w:t>
      </w:r>
      <w:r>
        <w:rPr>
          <w:rFonts w:cs="Calibri" w:ascii="Calibri" w:hAnsi="Calibri"/>
          <w:sz w:val="26"/>
          <w:szCs w:val="26"/>
          <w:rtl w:val="true"/>
        </w:rPr>
        <w:t>)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הנתונים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שפורטו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שנתתי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המנחה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יחסי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שלפני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המגבילים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נתון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ינוע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בטווח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משנקבע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ובהיעדר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חריגות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המצדיקות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סטייה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בגדרו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נוגעות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לאופיו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להתנהלותו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ולעברו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בהקשר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להזכיר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המסקנות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הבעייתיות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המפורט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קודמים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קטין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בעטיין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מאחורי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סורג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ובריח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לפרקי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ויותר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מהתסקיר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שוחרר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1996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כלומר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כמעט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פעמיים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2005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2006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בעבודות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בלבד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ארוכה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השקיע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מאמצים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ולניהול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מאמצים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מצביע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בחלוף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בהתנהלותו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ובתפיסותיו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מסוכנות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עתידית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בפרט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שפורט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בהרחבה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לפעול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דפוסים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ושוליים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לקחת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ולפעול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אימפולסיבי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ובעייתי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לצרוך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סיפוק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דחפים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לצרכיו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ליטול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ולהפנים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שבמעשיו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בדיקות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בחומרי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הרגעה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רופא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דלים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טיפולי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קיומו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הנתונים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שפורטו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מצדיק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שנקבע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מצאתי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נכבדים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המצדיקים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הימנעות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כעשרים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שינוי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בהתנהלותו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להתמתנות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מעורבותו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בפלילים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פרק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שהשינוי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מהשפה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צמצם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ניכרת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מסוכנותו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קיימת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שלפני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פשוטות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ועיקר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נאלץ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להתמודד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מבוטלים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במישור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הכלכלי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והרפואי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המצדיק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התחשבות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מסוימת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להזכיר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במיוחס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ציבורי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מבוטל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הנוכחי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הוחזק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בתנאים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מגבילים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מעטים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ראוי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להזכיר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בעבודות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ומרתיע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אמנם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ההמלצה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להתקבל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ההלימה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המתחייבים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באיזון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הכולל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להסתפק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פחותה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במעט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בעתירת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התביעה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מרתיע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הכספי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לטעמי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במרכיב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מתחייב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בקביעתו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יינתן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לנסיבותיו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והכלכליות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אשר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כן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לעונשים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בניכוי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18.6.14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21.9.14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פשע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חוקית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1,500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תמורתו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90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 w:before="0" w:after="200"/>
        <w:ind w:start="360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המוצגים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יחולטו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או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יושמדו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בהתאם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לשיקול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דעת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המשטרה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העתק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יועבר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לשירות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45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6494-07-14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יורם גורג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 דורי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normal-h">
    <w:name w:val="normal-h"/>
    <w:qFormat/>
    <w:rPr>
      <w:rFonts w:cs="Times New Roman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597217" TargetMode="External"/><Relationship Id="rId7" Type="http://schemas.openxmlformats.org/officeDocument/2006/relationships/hyperlink" Target="http://www.nevo.co.il/case/6058757" TargetMode="External"/><Relationship Id="rId8" Type="http://schemas.openxmlformats.org/officeDocument/2006/relationships/hyperlink" Target="http://www.nevo.co.il/case/5673467" TargetMode="External"/><Relationship Id="rId9" Type="http://schemas.openxmlformats.org/officeDocument/2006/relationships/hyperlink" Target="http://www.nevo.co.il/case/6024035" TargetMode="External"/><Relationship Id="rId10" Type="http://schemas.openxmlformats.org/officeDocument/2006/relationships/hyperlink" Target="http://www.nevo.co.il/case/13019896" TargetMode="External"/><Relationship Id="rId11" Type="http://schemas.openxmlformats.org/officeDocument/2006/relationships/hyperlink" Target="http://www.nevo.co.il/case/16992066" TargetMode="External"/><Relationship Id="rId12" Type="http://schemas.openxmlformats.org/officeDocument/2006/relationships/hyperlink" Target="http://www.nevo.co.il/case/3507722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2018-01-28T14:09:00Z</dcterms:created>
  <dc:creator> </dc:creator>
  <dc:description/>
  <cp:keywords/>
  <dc:language>en-IL</dc:language>
  <cp:lastModifiedBy>run</cp:lastModifiedBy>
  <dcterms:modified xsi:type="dcterms:W3CDTF">2018-01-28T14:09:00Z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יורם גורג'י דורי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5597217;6058757;5673467;6024035;13019896;16992066;3507722</vt:lpwstr>
  </property>
  <property fmtid="{D5CDD505-2E9C-101B-9397-08002B2CF9AE}" pid="9" name="CITY">
    <vt:lpwstr>פ"ת</vt:lpwstr>
  </property>
  <property fmtid="{D5CDD505-2E9C-101B-9397-08002B2CF9AE}" pid="10" name="DATE">
    <vt:lpwstr>20150916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70301/144.a</vt:lpwstr>
  </property>
  <property fmtid="{D5CDD505-2E9C-101B-9397-08002B2CF9AE}" pid="15" name="LAWYER">
    <vt:lpwstr>ערן אמרני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6494</vt:lpwstr>
  </property>
  <property fmtid="{D5CDD505-2E9C-101B-9397-08002B2CF9AE}" pid="22" name="NEWPARTB">
    <vt:lpwstr>07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380020150916</vt:lpwstr>
  </property>
  <property fmtid="{D5CDD505-2E9C-101B-9397-08002B2CF9AE}" pid="34" name="TYPE_N_DATE">
    <vt:lpwstr>38020150916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