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7"/>
        <w:gridCol w:w="1143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209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65-12-09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אקרמן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66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0" w:name="FirstLawyer"/>
            <w:bookmarkStart w:id="1" w:name="FirstAppellant"/>
            <w:bookmarkStart w:id="2" w:name="FirstLawyer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באמצעות 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 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 יעל תרם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שלומי בשרן</w:t>
            </w:r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tl w:val="true"/>
              </w:rPr>
              <w:t>באמצעות 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 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 יקי קהן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4" w:name="Links_Start"/>
      <w:bookmarkStart w:id="5" w:name="Links_Start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01-12-2009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זהבה בוסתן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עינת בניטה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קהן יעקב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01-12-2009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זהבה בוסתן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מירב עמר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 סיימון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16-03-2010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מירב עמר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 סיימון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12-04-2010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שלומי בשרן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יקי קהן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רינצקי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 סיימון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02-05-2010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 סיימון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13-05-2010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גדי ציון 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13-05-2010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גדי ציון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סימון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07-07-2010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65-12-09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יהושע אקרמן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ליאורה ברודי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אביב שרון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ניל סיימון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01-03-2011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5713/10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יהושע אקרמן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שגב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סיימון </w:t>
      </w:r>
    </w:p>
    <w:p>
      <w:pPr>
        <w:pStyle w:val="Normal"/>
        <w:spacing w:lineRule="auto" w:line="360"/>
        <w:ind w:end="0"/>
        <w:jc w:val="start"/>
        <w:rPr>
          <w:rFonts w:ascii="Arial" w:hAnsi="Arial" w:eastAsia="Arial" w:cs="Arial"/>
          <w:sz w:val="36"/>
          <w:szCs w:val="36"/>
        </w:rPr>
      </w:pPr>
      <w:bookmarkStart w:id="6" w:name="Links_End"/>
      <w:bookmarkEnd w:id="6"/>
      <w:r>
        <w:rPr>
          <w:rFonts w:eastAsia="Arial" w:cs="Arial" w:ascii="Arial" w:hAnsi="Arial"/>
          <w:sz w:val="36"/>
          <w:szCs w:val="36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  <w:bookmarkStart w:id="7" w:name="Links_Start"/>
      <w:bookmarkStart w:id="8" w:name="LawTable"/>
      <w:bookmarkStart w:id="9" w:name="Links_Start"/>
      <w:bookmarkStart w:id="10" w:name="LawTable"/>
      <w:bookmarkEnd w:id="9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36"/>
          <w:szCs w:val="36"/>
          <w:u w:val="single"/>
        </w:rPr>
      </w:pPr>
      <w:bookmarkStart w:id="13" w:name="PsakDin"/>
      <w:bookmarkEnd w:id="13"/>
      <w:r>
        <w:rPr>
          <w:rFonts w:ascii="Arial" w:hAnsi="Arial" w:eastAsia="David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36"/>
          <w:szCs w:val="36"/>
          <w:u w:val="single"/>
        </w:rPr>
      </w:pPr>
      <w:r>
        <w:rPr>
          <w:rFonts w:eastAsia="David" w:cs="David" w:ascii="David" w:hAnsi="David"/>
          <w:b/>
          <w:bCs/>
          <w:sz w:val="36"/>
          <w:szCs w:val="36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מעשי הנאשם והרשעתו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6" w:name="ABSTRACT_START"/>
      <w:bookmarkEnd w:id="16"/>
      <w:r>
        <w:rPr>
          <w:rFonts w:ascii="Arial" w:hAnsi="Arial" w:cs="Arial"/>
          <w:rtl w:val="true"/>
        </w:rPr>
        <w:t>הנאשם הודה במיוחס לו בכתב האישום המתוקן בשנית במסגרת 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מתברר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במשך תקופה שאינה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יום </w:t>
      </w:r>
      <w:r>
        <w:rPr>
          <w:rFonts w:cs="Arial" w:ascii="Arial" w:hAnsi="Arial"/>
        </w:rPr>
        <w:t>16.11.09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אחר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שעניינו הופרד ונשמע בפני מותב אחר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בדירתו בתל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לבנת חבלה המכילה חצי קילוגרם חומר נפץ מרסק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ומחוברת למערכת  המיועדת להצמדת לבנות חבלה לחפצים מעץ או מברזל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בדירתו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אצבע חבלה המכילה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חומר נפץ מרסק מסוג </w:t>
      </w:r>
      <w:r>
        <w:rPr>
          <w:rFonts w:cs="Arial" w:ascii="Arial" w:hAnsi="Arial"/>
        </w:rPr>
        <w:t>C-4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7" w:name="ABSTRACT_END"/>
      <w:bookmarkEnd w:id="17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16.11.09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האחר את המטען ואצבע החבלה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בקשתו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שזה הבטיח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בהמשך 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יסתדרו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העביר את הנשק לרכב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אותה עת בחזקתו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אותו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נהג הנאשם לנווה מונוסון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אסף אדם אחר לרכב ונסע עמו ללוד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כשהנשק מונח בתוך תיק על המושב האחורי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אלה הורשע הנאשם בעבירה של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14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הנסיבות האישיות והתסקיר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הזמנתי תסקיר בעבור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עם שני ילדים בגילים שנה וחצי ושלוש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ושירת שירות צבאי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מאז שחרורו מהצבא הוא עובד בתחום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לפני כשנה פתח יחד עם שותף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חברת אבטחה שהביאה אותו לחובות כספיים כבדים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לוקח אחריות מלאה למעשיו ומתחרט על 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ביצוע העבירה לא היה מודע לחומרת המעשים ולסיכון הנלווה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ורק במהלך מעצרו הבין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הסביר את מעורבותו על רקע חובות כספיים לשוק האפור ולגורמים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ואיומים מרומזים מצידם על שלום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התבקש על ידם להשיג עבורם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על רקע עבודתו בתחום האבטחה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היה בהליכי גירושין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חובותיו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בתקופת המעצר התחזק הקשר עם אשתו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תאר קושי לחשוף חולשה ולשתף את משפחתו בקשייו הכלכליים והרגשיים שחווה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קצינת המבחן התרשמה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מבין את הסיכון וחומרת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אין המדובר באדם בעל דפוסי התנהגות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ההתרשמות מהנאשם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ההערכה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העבירה אותה ביצע חריגה להתנהגותו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זקוק לסיוע בהתמודדות עם המצוקות הנפשיות 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המלצתה היא שבמידה ובית המשפט יחליט להסתפק בתקופת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יוטל עליו צו מבחן למשך שנה ובמהלכו ישולב בתוכנית טיפולית מתאימה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לנאשם רישום פלילי משנת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הורשע בבית המשפט השלום בתל אביב בעבירה של </w:t>
      </w:r>
      <w:r>
        <w:rPr>
          <w:rFonts w:ascii="Arial" w:hAnsi="Arial" w:cs="Arial"/>
          <w:b/>
          <w:b/>
          <w:bCs/>
          <w:rtl w:val="true"/>
        </w:rPr>
        <w:t>תקיפה וחבלה ממשית על ידי שניים או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r>
        <w:rPr>
          <w:rFonts w:cs="Arial" w:ascii="Arial" w:hAnsi="Arial"/>
        </w:rPr>
        <w:t>382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ונידון למאסר של חודשיים וחצי שרוצו בעבודות שירות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הזכירה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התביעה הצהירה שבמידה והתסקיר יהיה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היא תעתור לעונש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התסקיר שהתקבל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התביעה עומדת בהצהרתה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 שעמדת התביעה  בנסיבות רגילות של המקרה הזה הייתה מחמירה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ציינה שהנאשם הודה כבר בחקירתו במשטרה ובבית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מהובלת נשק להחזקתו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שחומרתה פחותה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עמדה על המעשים המתוארים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שפורטו 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בעבירה חמורה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שמשמש לא אחת כפתרון לסכסוכים עבריינים ואף לביצוע פיגועים חבלניים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נשק בעל פוטנציאל קטלני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מצוקה כלכלית אינה סיבה לבצע עבירה כלשהי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ציינה שנושא האיומים עלה לראשונה בתסקיר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בדרך נס נתפס הנאשם בו ביום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וטרם הספיק לבצע עבירה בנשק או להעבירו לגורמים אחרים שיבצעו בו מעשי עבריינות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הפנתה לעברו הפלילי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מדובר רק בעבירה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חומרתה וגילו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מלמדים שלא מדובר במעידה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פעמית בשל מצוקה כלכלית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שהנאשם ייקח חלק בהליך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רק לאחר שיירצה עונש של מאסר ממשי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לחיזוק עמדתה היא הפנתה לפסיקה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 הוטל עונש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בנסיבות הדומות למקרה המתואר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התיק היחיד בו הורשע הנאשם לפני כארבע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תיק בו הודה ולא נוהל 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היה בתיק שאירע בנסיבות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לראות שהנאשם לקח אחריות במקרה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במקרה הקודם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זהו המעצר הממשי הראשון שהנאשם חווה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מחלוקת שהמדובר בעבירה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זהו המקרה בו ניתן לראות חריג ולמצוא נסיבות בהן ניתן ללכת לקראת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הפנה לתסקיר ולקורות חייו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באדם המנהל בפועל אורח חיים נורמטיבי 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העוסק בין השאר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באירועי התנדבות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החברה שהקים הנאשם קרסה והוא שקע בחובות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המצוקה הכלכלית הביאה להידרדרות גם במצבו האישי והמשפחתי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האיומים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אמנם הדברים לא נמצאים בתיק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ייתכן משום שהנאשם חשש ועודנו חושש לציין מיהו המאיים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הפנה לחקירתו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ענה שנאשם ביקש כל סוג נשק שהיה בבית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נשק ספציפי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המסקנה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ביקש להשיג נשק כלשהו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לרצות את מי שביקש זאת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ציין שהנאשם הודה והביע חרטה במשטרה ובבית המשפט במהירות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הבין עד כמה מעשיו חמורים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אינו נמצא בלחץ 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שמשפחתו עזרה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למד את הלקח והפנים את חומרת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תירוץ או הנחה שצריך לעשות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בחר בדרך הקלה לעשיית כסף כדי לשפר את מצבו הכלכלי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עשה את מעשיו בעקבות לחץ כבד בו היה נתון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 ציין שהתסקיר חיובי ביותר והפנה לחלק בו נכתב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שאין המדובר באדם בעל דפוסי התנהגות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בפסיקה הוטלו עונשים במרווח רחב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ועד למקרים החמורים יותר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בוצעו ללא שיקול דעת או בשיקול דעת מוטעה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נמצא במעצר מזה כחמישה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ולדעתו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חובה עליו כסנגורו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שהוא מכיר את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לבקש להסתפק בתקופת 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יוכל הוא להיעזר בשירות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בית המשפט יקבל את הבקשה להסתפק בימי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הפיקוח על הנאשם יכול להימשך כשנתיים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מבקש להטיל עליו בנוסף מאסר על תנאי לתקופה ממושכת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אביו של הנאשם העיד לטובתו ואמר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רק לאחר מעצר בנו התברר שהוא נמצא בחובות כבדים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המשפחה מכרה את הדירה ועברה לדירה קטנה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 גדול מהכסף שימש להחזר החובות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מעסיקו של הנאשם עד למעצרו הנוכחי העיד לטובתו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משמש כמנכ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של חברה בתחום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עבד אצלו כשומר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מכיר את הנאשם לפחות כעשר 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עושה את העבודה כראוי והוא מעוניין להעסיקו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הגיש לבית המשפט מכתב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הכתוב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השתדל תמיד לשמור על יושרו מבלי לבחור קיצורי דרך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חובותיו הכספיים גרמו לו לפעול בטיפשות ובחוסר דעת להשלכות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יודע שמעשיו היו מסוכנים וחסרי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שיכלו לגרום אף לאסון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שום תירוץ שיוכל להצדיק את מעשיו או להשקיט את מצפונו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מביע חרטה וצער רב על מעשיו ויודע שלא מגיע לו לחזור במהרה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מבקש לשקול זאת עבור ילדותיו הקטנות שאינן אשמות במעשיו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מחלוקת בין הצדדים על חומרתה של העבירה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אודות פגיעתה הרעה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הצדדים גם לא נחלקו על כך שהעונש הראוי לנאשם הוא עונש של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המחלוקת ביניהם היא באשר למשקל שיש לייחס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ולנסיבות האחרות המשמשות בעבורו לקולא וכיוצא בזה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באשר לעונש המאסר בפועל שמן הראוי לקצוב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לפני שאחליט במחלוקת האמורה ואביא את הכרעתי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אומר דברים אודות העבירה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משמעויותיה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ומדיניות הענישה הנוהגת 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הנשק למיניהן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הן רעה חולה בחברתנו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בצד עבירות האלימות ובמיוחד האלימות הקשה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למרבית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קנו עבירות אלה שביתה אצלנו במהלך השנים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וחלה עלייה מדאיגה בביצוען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בעבירות האלימות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גם בנגזרת הקרובה אליהן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עבירות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המדובר בכלי ירייה ובין אם מדובר בסוגים אחרים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חומרי חבלה ודומיהם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טמונה סכנה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כתוצאה מפגיעתו הרעה האפשרית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כבר לפני עשור עמד על הסכנה הזו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זמיר ב</w:t>
      </w:r>
      <w:hyperlink r:id="rId1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4609/98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טאהא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דיבר על עבירת הסחר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מקרה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הם לא נרכשו באופן חוקי וחזקה</w:t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 xml:space="preserve"> </w:t>
      </w:r>
      <w:r>
        <w:rPr>
          <w:rFonts w:ascii="Arial" w:hAnsi="Arial" w:cs="Arial"/>
          <w:b/>
          <w:b/>
          <w:bCs/>
          <w:rtl w:val="true"/>
        </w:rPr>
        <w:t>שהם לא נועדו לשמש מטרה חוקית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גם כשהם נמצאים בידי אדם שאינו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עבריין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טמונה בהם סכנת 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קל וחומר אם הם מתגלגלים ומגיעים לידי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גורמים עוינים</w:t>
      </w:r>
      <w:r>
        <w:rPr>
          <w:rFonts w:cs="Arial" w:ascii="Arial" w:hAnsi="Arial"/>
          <w:b/>
          <w:bCs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rtl w:val="true"/>
        </w:rPr>
        <w:t>ועלינו לקחת בחשבון אפשרות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להרתיע מפניה ולמנוע את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הסכנה המחמירה והולכת הצפויה מן הסחר בנשק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 שומה על בית</w:t>
      </w:r>
      <w:r>
        <w:rPr>
          <w:rFonts w:cs="Arial" w:ascii="Arial" w:hAnsi="Arial"/>
          <w:b/>
          <w:bCs/>
          <w:rtl w:val="true"/>
        </w:rPr>
        <w:t>-</w:t>
        <w:tab/>
      </w:r>
      <w:r>
        <w:rPr>
          <w:rFonts w:ascii="Arial" w:hAnsi="Arial" w:cs="Arial"/>
          <w:b/>
          <w:b/>
          <w:bCs/>
          <w:rtl w:val="true"/>
        </w:rPr>
        <w:t xml:space="preserve">המשפט להתריע כנגד סכנה זאת ולפעול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כנדרש כדי להרתיע מפני עבירה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זאת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29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ועוד קודם 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התריע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בך על היותה של עבירת החזקת הנשק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המסכנת את בטחון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910/85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קונדוס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86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670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 xml:space="preserve">אין אנו יכולים להתעלם מהעובדה שהחזקת נשק שלא כדין הינה עבירה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נפוצה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אשר מסכנת את בטחון הציבור במידה רצינית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והדברים ידועים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חשוב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שתחדור לתודעת כל תושבי המדינה ידיעה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שמי שביודעין מקבל לרשותו כלי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נשק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צפוי בגין עבירה זו לעונש מכאיב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אפילו אין הוא מתכוון אישית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לבצע פשע מסוים ומוגדר בעזרת הנשק האמור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firstLine="29" w:end="72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כאשר נבחנה רמת הענישה שהייתה מקובלת בגין עבירות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שמקרה כזה נדון בבית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</w:rPr>
        <w:t>1332/04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מדינת ישראל נ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פס ואח</w:t>
      </w:r>
      <w:r>
        <w:rPr>
          <w:rFonts w:cs="Arial" w:ascii="Arial" w:hAnsi="Arial"/>
          <w:color w:val="000000"/>
          <w:rtl w:val="true"/>
        </w:rPr>
        <w:t xml:space="preserve">', </w:t>
      </w:r>
      <w:r>
        <w:rPr>
          <w:rFonts w:ascii="Arial" w:hAnsi="Arial" w:cs="Arial"/>
          <w:color w:val="000000"/>
          <w:rtl w:val="true"/>
        </w:rPr>
        <w:t>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ד נח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541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544</w:t>
      </w:r>
      <w:r>
        <w:rPr>
          <w:rFonts w:cs="Arial" w:ascii="Arial" w:hAnsi="Arial"/>
          <w:rtl w:val="true"/>
        </w:rPr>
        <w:t xml:space="preserve"> – </w:t>
      </w:r>
      <w:r>
        <w:rPr>
          <w:rFonts w:cs="Arial" w:ascii="Arial" w:hAnsi="Arial"/>
        </w:rPr>
        <w:t>545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דברים אלה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נדגיש כי בכל הנוגע לרמת הענישה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הגיעה העת לתת משקל לחומרת העבירות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של החזקת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ובייחוד נשק התקפי שנגנב מצה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מן הראוי שיהיה בעונש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כדי להרתיע מנפיצות התופעה העבריינית של החזקת נשק חם מסוגים שונים</w:t>
      </w:r>
      <w:r>
        <w:rPr>
          <w:rFonts w:cs="Arial" w:ascii="Arial" w:hAnsi="Arial"/>
          <w:b/>
          <w:bCs/>
          <w:rtl w:val="true"/>
        </w:rPr>
        <w:t xml:space="preserve">, </w:t>
        <w:tab/>
      </w:r>
      <w:r>
        <w:rPr>
          <w:rFonts w:ascii="Arial" w:hAnsi="Arial" w:cs="Arial"/>
          <w:b/>
          <w:b/>
          <w:bCs/>
          <w:rtl w:val="true"/>
        </w:rPr>
        <w:t xml:space="preserve">נשיאתו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ושימוש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גם אם נכון הדבר כי עד כה רמת הענישה בעבירות של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החזקת נשק אינה גבוהה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הרי שהמציאות השוררת היום בארץ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זמינותו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של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נשק חם ורב עוצמה שיש עמו פוטנציאל להסלמה באלימות העבריינית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והאידיאולוגית כאחד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מחייבת מתן ביטוי עונש הולם והחמרה ברמת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הענישה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ascii="Arial" w:hAnsi="Arial" w:cs="Arial"/>
          <w:b/>
          <w:b/>
          <w:bCs/>
          <w:rtl w:val="true"/>
        </w:rPr>
        <w:t xml:space="preserve">אם אכן נהגו בתי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המשפט בסלחנות עד כה בעבירות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ניתן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לומר כי לא הרימו תרומה מספקת לעקירת התופעה של החזקה או נשיאה של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שהתפשטה במקומותינו והתדרדרה לשימוש בו בידי גורמים המסכנים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את שלומו של הציבור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נתנה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סימנים בכל הנוגע לעונש הראוי לעבריין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מקרה בנסיבותיו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</w:t>
      </w:r>
      <w:r>
        <w:rPr>
          <w:rFonts w:ascii="Arial" w:hAnsi="Arial" w:cs="Arial"/>
          <w:b/>
          <w:b/>
          <w:bCs/>
          <w:rtl w:val="true"/>
        </w:rPr>
        <w:t>שם</w:t>
      </w:r>
      <w:r>
        <w:rPr>
          <w:rFonts w:ascii="Arial" w:hAnsi="Arial" w:cs="Arial"/>
          <w:rtl w:val="true"/>
        </w:rPr>
        <w:t xml:space="preserve"> 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543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 xml:space="preserve">כבר נאמר לא אחת בפסיקתנו כי מידת העונש המוטל בגין עבירות המבוצעות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מושפעת מפוטנציאל הסיכון הרב הטמון בנשק המוחזק שלא כדין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ומהעברתו מיד ליד ללא פיקוח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בבוא בית המשפט לגזור את הדין בעבירה של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החזקה ונשיאה של נשק עליו להתחשב בנסיבות שבהן באה לידי ביטוי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החומרה המיוחדת שבעבירה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בין היתר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ייתן בית 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 xml:space="preserve">המשפט דעתו על סוג הנשק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המוחזק שלא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כמותו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על התכלית שלשמה הוא מוחזק  ועל הסכנה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 xml:space="preserve">המוחשית שיעשה בו שימוש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השוו </w:t>
      </w:r>
      <w:hyperlink r:id="rId17">
        <w:r>
          <w:rPr>
            <w:rStyle w:val="Hyperlink"/>
            <w:rFonts w:ascii="Arial" w:hAnsi="Arial" w:cs="Arial"/>
            <w:b/>
            <w:b/>
            <w:bCs/>
            <w:rtl w:val="true"/>
          </w:rPr>
          <w:t>ב</w:t>
        </w:r>
        <w:r>
          <w:rPr>
            <w:rStyle w:val="Hyperlink"/>
            <w:rFonts w:cs="Arial" w:ascii="Arial" w:hAnsi="Arial"/>
            <w:b/>
            <w:bCs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ש </w:t>
        </w:r>
        <w:r>
          <w:rPr>
            <w:rStyle w:val="Hyperlink"/>
            <w:rFonts w:cs="Arial" w:ascii="Arial" w:hAnsi="Arial"/>
            <w:b/>
            <w:bCs/>
          </w:rPr>
          <w:t>625/82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b/>
          <w:bCs/>
          <w:rtl w:val="true"/>
        </w:rPr>
        <w:tab/>
        <w:t>[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]). </w:t>
      </w:r>
    </w:p>
    <w:p>
      <w:pPr>
        <w:pStyle w:val="Normal"/>
        <w:spacing w:lineRule="auto" w:line="360"/>
        <w:ind w:firstLine="720" w:end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כאשר מדובר בנשק שעל פי טיבו אינו מיועד להגנה עצמית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וכל כולו  נשק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התקפי רב עוצמה אשר השימוש בו יכול להביא להרג ללא הבחנה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יש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בעבירת ההחזקה והנשיאה של אותו נשק חומרה מיוחדת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הבאתי ציטוטים נרחבים אלה מן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להראות את מדיניות הענישה הנוהגת 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ההחמרה הנדרשת בענישה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בסכנות המוחשיות הנשקפות מהן לחברה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הבאתי גם את אמות המידה הראויות לענישה בנסיבותיו של 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ובעיקרו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בכמותו ובתכלית החזקתו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איישם מבחנים אלה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נקל להיווכח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 ענייננו אינן קלות כלל ועיקר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היפוכו של דבר הוא הנכון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עניין לנו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 פי הרכבו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כמעט מוכן להפעלה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ואם לא די בזה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הנאשם החזיק גם פריט נוסף של אמצעי חבלה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אי אפשר שיהיה ספק בתכלית השימוש בנשק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טיב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מה שמסר הנאשם אודות נסיבות החזקתו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מעידים על כך שהוא כוון לשימוש בידי עבריינים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כבר ראינו לא מעט מקרים של שימוש בנשק בידי כנופיות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כלפי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שנסתיימו בתוצאות קטלניות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הקורבנות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למרבית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לא רק יעדי התקיפה והקטילה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גם אנשים תמימים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שנקלעו באקראי לזירת הפשע והחבלה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העונש הראוי בנסיבות כאלה צריך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לשמש כהרתעה גם כלפי מי שיבצעו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הם עצמם אינם 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בגדר אנשים נורמטיביים שאינם מקיימים אורח חיים עברייני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החשש מפני ענישה ממשית ולעתים גם מכבידה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לגבור על החשש של מבצע העבירה מפני אחרים שאיימו עליו או שרמזו בפניו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בכיוון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שיספק להם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לשימושם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 אינני בטוח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רקע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עניין האיומים לא בא זכרו בתיק החקירה ובדברי הנאשם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הנאשם בעת ששוחח עם קצינת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אסכם את הדברים מכוח מדיניות הענישה הראויה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כאשר המדובר בחומרי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התקפי שמטרת השימוש בו ברורה ואי אפשר לטעון לגביו כי תכלית החזקתו הייתה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שהנאשם ראוי לעונש מאסר בפועל משמעותי ומכאיב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הצעת התביעה בעניינו איננה חמורה יתר על המידה הראויה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זו ענישה התואמת את הנסיבות הענייניות ואת הודייתו של הנאשם במעשיו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אקל מהצעת ענישה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במידה מסוימת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זה מתוך כך שהחלטתי לתת משקל גבוה יותר לנסיבותיו האישיות ולעובדה כי ביצוע העבירה הזו על ידו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למרות שכבר הורשע בעבירת אלימות בעבר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היא חריג להתנהגותו הנורמטיבית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אין הוא מקיים אורח חיים עברייני ומותר לראות את הסתבכותו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כקשורה להסתבכותו הכלכלית ועל רקע חובותיו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מובן כי אי אפשר לראות בנסיבות אלה כהצדקה להתנהגות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יש בהן כדי לשמש כשיקול לקולא וכרקע המבהיר את ביצוע המעשים הפליליים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8309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הקלה מסוימת זו בעונש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יכולה להוביל לכך שאסתפק בתקופת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הצעה 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שגם הסנגור הנכבד התקשה לבקשה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איננה ראויה והיא תחטיא את תכלית הענישה בנסיבות הכוללות של 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הראוי של הנאשם צריך שיהא הרבה מעבר לתקופת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סיכומם של דברים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16.11.09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לשלוש שנים שלא יעבור במהלך תקופה זו עבירת נשק מסוג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הכלכליות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נמנעתי מלחייבו בענישה של קנס 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David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26/04/2010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Start w:id="18" w:name="LastJudge"/>
      <w:bookmarkStart w:id="19" w:name="LastJudge"/>
      <w:bookmarkEnd w:id="19"/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נטלי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ליפר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/Users/liorb/Downloads/study2025-p2/ME-09-12-65-788.doc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65-12-09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שלומי בשרן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120170" TargetMode="External"/><Relationship Id="rId3" Type="http://schemas.openxmlformats.org/officeDocument/2006/relationships/hyperlink" Target="http://www.nevo.co.il/case/5120170" TargetMode="External"/><Relationship Id="rId4" Type="http://schemas.openxmlformats.org/officeDocument/2006/relationships/hyperlink" Target="http://www.nevo.co.il/case/5120170" TargetMode="External"/><Relationship Id="rId5" Type="http://schemas.openxmlformats.org/officeDocument/2006/relationships/hyperlink" Target="http://www.nevo.co.il/case/5120170" TargetMode="External"/><Relationship Id="rId6" Type="http://schemas.openxmlformats.org/officeDocument/2006/relationships/hyperlink" Target="http://www.nevo.co.il/case/5120170" TargetMode="External"/><Relationship Id="rId7" Type="http://schemas.openxmlformats.org/officeDocument/2006/relationships/hyperlink" Target="http://www.nevo.co.il/case/5120170" TargetMode="External"/><Relationship Id="rId8" Type="http://schemas.openxmlformats.org/officeDocument/2006/relationships/hyperlink" Target="http://www.nevo.co.il/case/5120170" TargetMode="External"/><Relationship Id="rId9" Type="http://schemas.openxmlformats.org/officeDocument/2006/relationships/hyperlink" Target="http://www.nevo.co.il/case/5120170" TargetMode="External"/><Relationship Id="rId10" Type="http://schemas.openxmlformats.org/officeDocument/2006/relationships/hyperlink" Target="http://www.nevo.co.il/case/5120170" TargetMode="External"/><Relationship Id="rId11" Type="http://schemas.openxmlformats.org/officeDocument/2006/relationships/hyperlink" Target="http://www.nevo.co.il/case/5120170" TargetMode="External"/><Relationship Id="rId12" Type="http://schemas.openxmlformats.org/officeDocument/2006/relationships/hyperlink" Target="http://www.nevo.co.il/case/56780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707014" TargetMode="External"/><Relationship Id="rId17" Type="http://schemas.openxmlformats.org/officeDocument/2006/relationships/hyperlink" Target="http://www.nevo.co.il/case/17929065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2016-02-08T11:54:00Z</dcterms:created>
  <dc:creator> </dc:creator>
  <dc:description/>
  <cp:keywords/>
  <dc:language>en-IL</dc:language>
  <cp:lastModifiedBy>hofit</cp:lastModifiedBy>
  <dcterms:modified xsi:type="dcterms:W3CDTF">2016-02-08T11:54:00Z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שלומי בשרן</vt:lpwstr>
  </property>
  <property fmtid="{D5CDD505-2E9C-101B-9397-08002B2CF9AE}" pid="4" name="CASENOTES1">
    <vt:lpwstr>ProcID=133;209&amp;PartA=910&amp;PartC=85</vt:lpwstr>
  </property>
  <property fmtid="{D5CDD505-2E9C-101B-9397-08002B2CF9AE}" pid="5" name="CASENOTES2">
    <vt:lpwstr>ProcID=133;209&amp;PartA=1332&amp;PartC=04</vt:lpwstr>
  </property>
  <property fmtid="{D5CDD505-2E9C-101B-9397-08002B2CF9AE}" pid="6" name="CASESLISTTMP1">
    <vt:lpwstr>5120170:10;5678001;5707014;17929065</vt:lpwstr>
  </property>
  <property fmtid="{D5CDD505-2E9C-101B-9397-08002B2CF9AE}" pid="7" name="CITY">
    <vt:lpwstr>מרכז</vt:lpwstr>
  </property>
  <property fmtid="{D5CDD505-2E9C-101B-9397-08002B2CF9AE}" pid="8" name="DATE">
    <vt:lpwstr>20100426</vt:lpwstr>
  </property>
  <property fmtid="{D5CDD505-2E9C-101B-9397-08002B2CF9AE}" pid="9" name="DELEMATA">
    <vt:lpwstr>http://elyon2.court.gov.il/scripts9/mgrqispi93.dll?Appname=eScourt&amp;Prgname=GetFileDetails&amp;Arguments=-N2010-005713-0</vt:lpwstr>
  </property>
  <property fmtid="{D5CDD505-2E9C-101B-9397-08002B2CF9AE}" pid="10" name="ISABSTRACT">
    <vt:lpwstr>Y</vt:lpwstr>
  </property>
  <property fmtid="{D5CDD505-2E9C-101B-9397-08002B2CF9AE}" pid="11" name="JUDGE">
    <vt:lpwstr>זכריה כספי</vt:lpwstr>
  </property>
  <property fmtid="{D5CDD505-2E9C-101B-9397-08002B2CF9AE}" pid="12" name="LAWLISTTMP1">
    <vt:lpwstr>70301:2</vt:lpwstr>
  </property>
  <property fmtid="{D5CDD505-2E9C-101B-9397-08002B2CF9AE}" pid="13" name="LAWYER">
    <vt:lpwstr>יעל תרם;יקי קהן</vt:lpwstr>
  </property>
  <property fmtid="{D5CDD505-2E9C-101B-9397-08002B2CF9AE}" pid="14" name="LINKK1">
    <vt:lpwstr>http://www.nevo.co.il/Psika_word/mechozi/ME-09-12-65-275.doc;להחלטה במחוזי (01-12-2009)#תפ 65-12-09 מדינת ישראל נ' יהושע אקרמן#שופטים: זהבה בוסתן#עו''ד: עינת בניטה , קהן יעקב </vt:lpwstr>
  </property>
  <property fmtid="{D5CDD505-2E9C-101B-9397-08002B2CF9AE}" pid="15" name="LINKK10">
    <vt:lpwstr>http://www.nevo.co.il/Psika_word/mechozi/ME-09-12-65-728.doc;להחלטה במחוזי (07-07-2010)#תפ 65-12-09 מדינת ישראל נ' יהושע אקרמן#שופטים: ליאורה ברודי#עו''ד: אביב שרון, ניל סיימון</vt:lpwstr>
  </property>
  <property fmtid="{D5CDD505-2E9C-101B-9397-08002B2CF9AE}" pid="16" name="LINKK11">
    <vt:lpwstr>http://www.nevo.co.il/Psika_word/elyon/10057130-w04.doc;לפסק-דין בעליון (01-03-2011)#עפ 5713/10 יהושע אקרמן נ' מדינת ישראל#שופטים: א' גרוניס, ס' ג'ובראן, י' דנציגר#עו''ד: י' שגב, נ' סיימון</vt:lpwstr>
  </property>
  <property fmtid="{D5CDD505-2E9C-101B-9397-08002B2CF9AE}" pid="17" name="LINKK12">
    <vt:lpwstr/>
  </property>
  <property fmtid="{D5CDD505-2E9C-101B-9397-08002B2CF9AE}" pid="18" name="LINKK2">
    <vt:lpwstr>http://www.nevo.co.il/Psika_word/mechozi/ME-09-12-65-354.doc;להחלטה במחוזי (01-12-2009)#תפ 65-12-09 מדינת ישראל נ' יהושע אקרמן #שופטים: לפני זהבה בוסתן</vt:lpwstr>
  </property>
  <property fmtid="{D5CDD505-2E9C-101B-9397-08002B2CF9AE}" pid="19" name="LINKK3">
    <vt:lpwstr>http://www.nevo.co.il/Psika_word/mechozi/ME-09-12-65-297.doc;להחלטה במחוזי (16-03-2010)#תפ 65-12-09 מדינת ישראל נ' יהושע אקרמן#שופטים:  זכריה כספי#עו''ד: מירב עמר, ניל סיימון</vt:lpwstr>
  </property>
  <property fmtid="{D5CDD505-2E9C-101B-9397-08002B2CF9AE}" pid="20" name="LINKK4">
    <vt:lpwstr>http://www.nevo.co.il/Psika_word/mechozi/ME-09-12-65-682.doc;להחלטה במחוזי (16-03-2010)#תפ 65-12-09 מדינת ישראל נ' יהושע אקרמן#שופטים: זכריה כספי#עו''ד: מירב עמר, ניל סיימון</vt:lpwstr>
  </property>
  <property fmtid="{D5CDD505-2E9C-101B-9397-08002B2CF9AE}" pid="21" name="LINKK5">
    <vt:lpwstr>http://www.nevo.co.il/Psika_word/mechozi/ME-09-12-65-815.doc;להחלטה במחוזי (12-04-2010)#תפ 65-12-09 מדינת ישראל נ' שלומי בשרן #שופטים: זכריה כספי#עו''ד: יעל תרם, יקי קהן</vt:lpwstr>
  </property>
  <property fmtid="{D5CDD505-2E9C-101B-9397-08002B2CF9AE}" pid="22" name="LINKK6">
    <vt:lpwstr>http://www.nevo.co.il/Psika_word/mechozi/ME-09-12-65-753.doc;להחלטה במחוזי (14-04-2010)#תפ 65-12-09 מדינת ישראל נ' יהושע אקרמן#שופטים: ליאורה ברודי#עו''ד: רינצקי, ניל סיימון</vt:lpwstr>
  </property>
  <property fmtid="{D5CDD505-2E9C-101B-9397-08002B2CF9AE}" pid="23" name="LINKK7">
    <vt:lpwstr>http://www.nevo.co.il/Psika_word/mechozi/ME-09-12-65-361.doc;להחלטה במחוזי (02-05-2010)#תפ 65-12-09 מדינת ישראל נ' יהושע אקרמן#שופטים: ליאורה ברודי#עו''ד: יעל תרם, ניל סיימון</vt:lpwstr>
  </property>
  <property fmtid="{D5CDD505-2E9C-101B-9397-08002B2CF9AE}" pid="24" name="LINKK8">
    <vt:lpwstr>http://www.nevo.co.il/Psika_word/mechozi/ME-09-12-65-202.doc;להכרעת-דין במחוזי (13-05-2010)#תפ 65-12-09 מדינת ישראל נ' יהושע אקרמן#שופטים: ליאורה ברודי#עו''ד: יעל תרם, גדי ציון ממשרד, סימון</vt:lpwstr>
  </property>
  <property fmtid="{D5CDD505-2E9C-101B-9397-08002B2CF9AE}" pid="25" name="LINKK9">
    <vt:lpwstr>http://www.nevo.co.il/Psika_word/mechozi/ME-09-12-65-7.doc;להכרעת-דין במחוזי (13-05-2010)#תפ 65-12-09 מדינת ישראל נ' יהושע אקרמן#שופטים: ליאורה ברודי#עו''ד: יעל תרם, גדי ציון , סימון</vt:lpwstr>
  </property>
  <property fmtid="{D5CDD505-2E9C-101B-9397-08002B2CF9AE}" pid="26" name="NEWPARTA">
    <vt:lpwstr>65</vt:lpwstr>
  </property>
  <property fmtid="{D5CDD505-2E9C-101B-9397-08002B2CF9AE}" pid="27" name="NEWPARTB">
    <vt:lpwstr>12</vt:lpwstr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09 12 65 788 htm</vt:lpwstr>
  </property>
  <property fmtid="{D5CDD505-2E9C-101B-9397-08002B2CF9AE}" pid="38" name="TYPE">
    <vt:lpwstr>2</vt:lpwstr>
  </property>
  <property fmtid="{D5CDD505-2E9C-101B-9397-08002B2CF9AE}" pid="39" name="TYPE_ABS_DATE">
    <vt:lpwstr>390020100426</vt:lpwstr>
  </property>
  <property fmtid="{D5CDD505-2E9C-101B-9397-08002B2CF9AE}" pid="40" name="TYPE_N_DATE">
    <vt:lpwstr>39020100426</vt:lpwstr>
  </property>
  <property fmtid="{D5CDD505-2E9C-101B-9397-08002B2CF9AE}" pid="41" name="VOLUME">
    <vt:lpwstr/>
  </property>
  <property fmtid="{D5CDD505-2E9C-101B-9397-08002B2CF9AE}" pid="42" name="WORDNUMPAGES">
    <vt:lpwstr>7</vt:lpwstr>
  </property>
</Properties>
</file>