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6532-03-14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6555-03-14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ני טנוס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עמיד רעד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גל ירדן</w:t>
      </w:r>
      <w:r>
        <w:rPr>
          <w:u w:val="none"/>
          <w:rtl w:val="true"/>
        </w:rPr>
        <w:br/>
      </w:r>
      <w:r>
        <w:rPr>
          <w:u w:val="none"/>
          <w:rtl w:val="true"/>
        </w:rPr>
        <w:t>הנאשם הובא</w:t>
      </w:r>
      <w:r>
        <w:rPr>
          <w:u w:val="none"/>
          <w:rtl w:val="true"/>
        </w:rPr>
        <w:br/>
      </w:r>
      <w:r>
        <w:rPr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סעיד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סמור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 xml:space="preserve">ביום </w:t>
      </w:r>
      <w:r>
        <w:rPr/>
        <w:t>12.3.2014</w:t>
      </w:r>
      <w:r>
        <w:rPr>
          <w:rtl w:val="true"/>
        </w:rPr>
        <w:t xml:space="preserve"> </w:t>
      </w:r>
      <w:r>
        <w:rPr>
          <w:rtl w:val="true"/>
        </w:rPr>
        <w:t>הורשע הנאשם על פי הודאתו באחזקת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 באחזקת חלק של נשק או תחמושת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עלפי הנטען בעובדות כתב האישום</w:t>
      </w:r>
      <w:r>
        <w:rPr>
          <w:rtl w:val="true"/>
        </w:rPr>
        <w:t xml:space="preserve">, </w:t>
      </w:r>
      <w:r>
        <w:rPr>
          <w:rtl w:val="true"/>
        </w:rPr>
        <w:t>הנאשם החזיק בחלקי נשק ותחמושת במחסן הצמוד לביתו של אחר</w:t>
      </w:r>
      <w:r>
        <w:rPr>
          <w:rtl w:val="true"/>
        </w:rPr>
        <w:t xml:space="preserve">, </w:t>
      </w:r>
      <w:r>
        <w:rPr>
          <w:rtl w:val="true"/>
        </w:rPr>
        <w:t>כאשר הנאשם החזיק במפתח המחסן הנ</w:t>
      </w:r>
      <w:r>
        <w:rPr>
          <w:rtl w:val="true"/>
        </w:rPr>
        <w:t>"</w:t>
      </w:r>
      <w:r>
        <w:rPr>
          <w:rtl w:val="true"/>
        </w:rPr>
        <w:t>ל ונהג בו מנהג הבעלים</w:t>
      </w:r>
      <w:r>
        <w:rPr>
          <w:rtl w:val="true"/>
        </w:rPr>
        <w:t xml:space="preserve">. </w:t>
      </w:r>
      <w:r>
        <w:rPr>
          <w:rtl w:val="true"/>
        </w:rPr>
        <w:t>מכלול הנשק וחלקי התחמושת בהם החזיק הנאשם הם כמפורט 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 הלם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תיק שמכיל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של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ומחסנית של רובה גליל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קרטון שמכיל  </w:t>
      </w:r>
      <w:r>
        <w:rPr>
          <w:rFonts w:cs="Arial" w:ascii="Arial" w:hAnsi="Arial"/>
        </w:rPr>
        <w:t>250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צייד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תיק המכיל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קצר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וכן רימון אחד לרובה נגד מפגינים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תיק המכיל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של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מחסנית לעוזי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אבק שריפה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קופסא עם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ובסך הכך </w:t>
      </w:r>
      <w:r>
        <w:rPr>
          <w:rFonts w:cs="Arial" w:ascii="Arial" w:hAnsi="Arial"/>
        </w:rPr>
        <w:t>249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קופסה המכילה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בקבוק המכיל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וכן כדור אחד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הולופוינט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פונדה המכילה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הולופוינט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נותבים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שקית המכילה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וכן כדור אחד של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נרתיק המכיל כדור של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חי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נותבים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",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קופסה המכילה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שקית המכילה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0.45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הולופוינט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73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0.45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אינץ</w:t>
      </w:r>
      <w:r>
        <w:rPr>
          <w:rFonts w:cs="Arial" w:ascii="Arial" w:hAnsi="Arial"/>
          <w:rtl w:val="true"/>
        </w:rPr>
        <w:t>' 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הגיש תסקיר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וממנו עולים הפרטים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הינו רווק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תעודת בגרות חלקית ושירת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שירות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מתגורר בבית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בעבודות מזדמנות ועובר למעצרו לא עבד בעבודה כלשהי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בהיותו 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אביו של הנאשם נפטר בשל מחלה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כך התקשה להתרכז בלימודיו ולסיים את לימודי התיכון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נקלעה למצוקה נפשית והנאשם תמך בה משך כל התקופה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שירותו הצבאי הוא התגלה על ידי מפקדיו כאדם חרוץ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אמין ובעל מזג נוח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לרקע לביצוע העבירות נשוא התיק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ציין כי לנוכח קשיי תקשורת עם הנאשם הוא לא הצליח לעמוד על הסיבות אשר הביאו את הנאשם לבצע 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היו אלה סיבות רגשיות הקשורות לפטירת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סיבות הקשורות בהזדהות הנאשם עם תכנים וערכים עברייניים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הגם שהנאשם הביע 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ששירות המבחן התרשם מכנות החרטה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הרושם הכללי שנותר היה שחרטה זו אינה נובעת מהתחברות הנאשם לחומרת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חרטה הקשורה למחיר האישי שהוא נאלץ לשלם עקב 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וחרף התרשמות שירות המבחן מנזקקות טיפולית גבוהה אצל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התסקיר אינו כולל המלצה טיפולית או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החשדנות שגילה הנאשם כלפי גורמי טיפול ולנוכח הכחשתו לצורך טיפולי כלשהו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הסיכון הגבוה להישנות התנהגות פורצת חוק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נמנע ממתן המלצה טיפולית והמליץ על השתת ענישה מוחשית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 תמונות מתיק החקירה להמחשת התחמושת וחלקי הנשק שנתפסו אצל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חוות דעת בדבר סוג רימוני היד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והמרשם הפלילי של הנאשם שכולל הרשעה אחת בעבר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הנאשם ביקש להביא ראיות לעונש ובמסגרת זו העידו מספר עדים אשר הכירו את הנאשם מקרוב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במסגרת בית הספר ובין בחוג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העדים תיארו את הקשיים בהם נאלצה משפחת הנאשם להתמודד בתקופה בה היה האב חולה ומאושפז לתקופה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החלל הרגשי והחינוכי שנותר בקרב הנאשם עקב מות אביו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העדים ביקשו להדגיש את העשייה והתרומה של הנאשם לחברה שהתבטאה בדרך של סיוע לנזקקים במערך ההתנדבות הקהילתית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בפתח טיעוניו ציין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כי על מנת לקבוע את מתחם העניש יש צורך להתחשב בערך החברתי המוגן</w:t>
      </w:r>
      <w:r>
        <w:rPr>
          <w:rtl w:val="true"/>
        </w:rPr>
        <w:t xml:space="preserve">, </w:t>
      </w:r>
      <w:r>
        <w:rPr>
          <w:rtl w:val="true"/>
        </w:rPr>
        <w:t>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מידת אשמתו של הנאשם והפסיקה 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טען שמדובר בעבירות חמורות מאוד וזאת משום שהנאשם החזיק בנשק ובכמות גדולה מאוד של מגוון סוגי תחמושת</w:t>
      </w:r>
      <w:r>
        <w:rPr>
          <w:rtl w:val="true"/>
        </w:rPr>
        <w:t xml:space="preserve">, </w:t>
      </w:r>
      <w:r>
        <w:rPr>
          <w:rtl w:val="true"/>
        </w:rPr>
        <w:t>באופן שאינו מתיישב עם החזקה מקרית בדומה להחזקת תחמושת מועטה או נשק 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הוסיף ב</w:t>
      </w:r>
      <w:r>
        <w:rPr>
          <w:rtl w:val="true"/>
        </w:rPr>
        <w:t>"</w:t>
      </w:r>
      <w:r>
        <w:rPr>
          <w:rtl w:val="true"/>
        </w:rPr>
        <w:t>כ המאשימה כי אף אם הנשק אינו מוחזק לצורך ביצוע עבירות אחרות</w:t>
      </w:r>
      <w:r>
        <w:rPr>
          <w:rtl w:val="true"/>
        </w:rPr>
        <w:t xml:space="preserve">, </w:t>
      </w:r>
      <w:r>
        <w:rPr>
          <w:rtl w:val="true"/>
        </w:rPr>
        <w:t>אין לומר כי לא נשקפת מהנאשם סכנה לציבור</w:t>
      </w:r>
      <w:r>
        <w:rPr>
          <w:rtl w:val="true"/>
        </w:rPr>
        <w:t xml:space="preserve">, </w:t>
      </w:r>
      <w:r>
        <w:rPr>
          <w:rtl w:val="true"/>
        </w:rPr>
        <w:t>ועל בית המשפט לתן את דעתו לסוג הנשק המוחזק שלא כדין</w:t>
      </w:r>
      <w:r>
        <w:rPr>
          <w:rtl w:val="true"/>
        </w:rPr>
        <w:t xml:space="preserve">, </w:t>
      </w:r>
      <w:r>
        <w:rPr>
          <w:rtl w:val="true"/>
        </w:rPr>
        <w:t>לכמות התחמושת ולסכנה שנובעת ממנו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 לאמור ציין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כי יש לתת את הדעת לנזק שצפוי היה להיגרם כתוצאה מהעבירות המיוחסות לנאשם</w:t>
      </w:r>
      <w:r>
        <w:rPr>
          <w:rtl w:val="true"/>
        </w:rPr>
        <w:t xml:space="preserve">, </w:t>
      </w:r>
      <w:r>
        <w:rPr>
          <w:rtl w:val="true"/>
        </w:rPr>
        <w:t>שבניגוד לעבירות אחרות מדובר בעבירה מתמשכת המלווה בתכנון ובהסלקה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כל אלה</w:t>
      </w:r>
      <w:r>
        <w:rPr>
          <w:rtl w:val="true"/>
        </w:rPr>
        <w:t xml:space="preserve">, </w:t>
      </w:r>
      <w:r>
        <w:rPr>
          <w:rtl w:val="true"/>
        </w:rPr>
        <w:t>יש לתת את הדעת גם למאמצים המודיעיניים בהם נוקטת המשטרה על מנת לחשוף עבירות של 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ולשקף את היקף המאמצים בענישה הולמת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הוסיף וטען</w:t>
      </w:r>
      <w:r>
        <w:rPr>
          <w:rtl w:val="true"/>
        </w:rPr>
        <w:t xml:space="preserve">, </w:t>
      </w:r>
      <w:r>
        <w:rPr>
          <w:rtl w:val="true"/>
        </w:rPr>
        <w:t>כי לנאשם הרשעה קודמת בהחזקת נשק קר שבגינה ריצה עונש מאסר בעבודות שירות</w:t>
      </w:r>
      <w:r>
        <w:rPr>
          <w:rtl w:val="true"/>
        </w:rPr>
        <w:t xml:space="preserve">, </w:t>
      </w:r>
      <w:r>
        <w:rPr>
          <w:rtl w:val="true"/>
        </w:rPr>
        <w:t>ולכן ברור שלא מדובר במעידה ראשונה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לתסקיר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 לציין כי תסקיר שירות המבחן מלמד כי הנאשם חש חרטה אם כי לא חרטה כנה ואמתית</w:t>
      </w:r>
      <w:r>
        <w:rPr>
          <w:rtl w:val="true"/>
        </w:rPr>
        <w:t xml:space="preserve">. </w:t>
      </w:r>
      <w:r>
        <w:rPr>
          <w:rtl w:val="true"/>
        </w:rPr>
        <w:t>הנאשם שלל כל צורך בשיקום</w:t>
      </w:r>
      <w:r>
        <w:rPr>
          <w:rtl w:val="true"/>
        </w:rPr>
        <w:t xml:space="preserve">. </w:t>
      </w:r>
      <w:r>
        <w:rPr>
          <w:rtl w:val="true"/>
        </w:rPr>
        <w:t>משכך המליץ שירות המבחן על הטלת ענישה מוחשית שתחדד עבורו את משמעות מעשיו – וכך יש לנהוג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ועל בסיס פסיקה שונה שהוגשה על ידו</w:t>
      </w:r>
      <w:r>
        <w:rPr>
          <w:rtl w:val="true"/>
        </w:rPr>
        <w:t xml:space="preserve">, </w:t>
      </w:r>
      <w:r>
        <w:rPr>
          <w:rtl w:val="true"/>
        </w:rPr>
        <w:t>ביקש ב</w:t>
      </w:r>
      <w:r>
        <w:rPr>
          <w:rtl w:val="true"/>
        </w:rPr>
        <w:t>"</w:t>
      </w:r>
      <w:r>
        <w:rPr>
          <w:rtl w:val="true"/>
        </w:rPr>
        <w:t xml:space="preserve">כ המאשימה לקבוע מתחם ענישה שנע 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 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ובנוסף לו מאסר על תנאי וקנס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טיעוניו לעונש ביקש הסנגור להקל עם הנאשם ולהעדיף</w:t>
      </w:r>
      <w:r>
        <w:rPr>
          <w:rtl w:val="true"/>
        </w:rPr>
        <w:t xml:space="preserve">, </w:t>
      </w:r>
      <w:r>
        <w:rPr>
          <w:rtl w:val="true"/>
        </w:rPr>
        <w:t>חרף המלצת שירות המבחן</w:t>
      </w:r>
      <w:r>
        <w:rPr>
          <w:rtl w:val="true"/>
        </w:rPr>
        <w:t xml:space="preserve">, </w:t>
      </w:r>
      <w:r>
        <w:rPr>
          <w:rtl w:val="true"/>
        </w:rPr>
        <w:t>את הפן השיקומי שלו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במקרה דנן לא היה תכנון מוקדם לביצוע העבירה והנאשם נקלע באקראי לתחמושת אותה מצא והחזיק במחסן מתוך טעות בהפעלת שיקול הדעת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לא נגרם כל נזק מוחשי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והנאשם לא השתמש ולא הפיץ את הנשק והתחמושת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הוסיף</w:t>
      </w:r>
      <w:r>
        <w:rPr>
          <w:rtl w:val="true"/>
        </w:rPr>
        <w:t xml:space="preserve">, </w:t>
      </w:r>
      <w:r>
        <w:rPr>
          <w:rtl w:val="true"/>
        </w:rPr>
        <w:t>כי הנאשם הבין את חומרת מעשיו</w:t>
      </w:r>
      <w:r>
        <w:rPr>
          <w:rtl w:val="true"/>
        </w:rPr>
        <w:t xml:space="preserve">, </w:t>
      </w:r>
      <w:r>
        <w:rPr>
          <w:rtl w:val="true"/>
        </w:rPr>
        <w:t>הביע חרטה אמתית וכנה</w:t>
      </w:r>
      <w:r>
        <w:rPr>
          <w:rtl w:val="true"/>
        </w:rPr>
        <w:t xml:space="preserve">, </w:t>
      </w:r>
      <w:r>
        <w:rPr>
          <w:rtl w:val="true"/>
        </w:rPr>
        <w:t>והודה בהזדמנות הראשונה</w:t>
      </w:r>
      <w:r>
        <w:rPr>
          <w:rtl w:val="true"/>
        </w:rPr>
        <w:t xml:space="preserve">, </w:t>
      </w:r>
      <w:r>
        <w:rPr>
          <w:rtl w:val="true"/>
        </w:rPr>
        <w:t>הן במשטרה והן בבית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ביקש להדגיש את נסיבותיו האישיות של הנאשם הקשורות במות אביו בהיותו עדיין נער</w:t>
      </w:r>
      <w:r>
        <w:rPr>
          <w:rtl w:val="true"/>
        </w:rPr>
        <w:t xml:space="preserve">, </w:t>
      </w:r>
      <w:r>
        <w:rPr>
          <w:rtl w:val="true"/>
        </w:rPr>
        <w:t>באופן שפגע ביכולתו להתמודד עם מצבי לחץ ולהפעיל שיקול דעת נכון ובריא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המשיך וטען</w:t>
      </w:r>
      <w:r>
        <w:rPr>
          <w:rtl w:val="true"/>
        </w:rPr>
        <w:t xml:space="preserve">, </w:t>
      </w:r>
      <w:r>
        <w:rPr>
          <w:rtl w:val="true"/>
        </w:rPr>
        <w:t>כי מדובר בנאשם צעיר ודתי</w:t>
      </w:r>
      <w:r>
        <w:rPr>
          <w:rtl w:val="true"/>
        </w:rPr>
        <w:t xml:space="preserve">, </w:t>
      </w:r>
      <w:r>
        <w:rPr>
          <w:rtl w:val="true"/>
        </w:rPr>
        <w:t>המשתייך למשפחה נורמטיבית תומכת ואוהדת</w:t>
      </w:r>
      <w:r>
        <w:rPr>
          <w:rtl w:val="true"/>
        </w:rPr>
        <w:t xml:space="preserve">. </w:t>
      </w:r>
      <w:r>
        <w:rPr>
          <w:rtl w:val="true"/>
        </w:rPr>
        <w:t>לפיכך הטלת עונש מאסר עלולה לפגוע בו לאין שיעור ולפגוע במשפחתו ובמיוחד באמו</w:t>
      </w:r>
      <w:r>
        <w:rPr>
          <w:rtl w:val="true"/>
        </w:rPr>
        <w:t xml:space="preserve">, </w:t>
      </w:r>
      <w:r>
        <w:rPr>
          <w:rtl w:val="true"/>
        </w:rPr>
        <w:t>בה הוא תומך לאחר שנקלעה למצוקה נפשית מאז מות אביו – מצוקה שממילא התעצמה עקב 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יסוד כל אלה ביקש הסנגור להקל עם הנאשם</w:t>
      </w:r>
      <w:r>
        <w:rPr>
          <w:rtl w:val="true"/>
        </w:rPr>
        <w:t xml:space="preserve">, </w:t>
      </w:r>
      <w:r>
        <w:rPr>
          <w:rtl w:val="true"/>
        </w:rPr>
        <w:t>להימנע מהטלת מאסר בפועל ולהעדיף שיקולי השיקום שלו לנוכח גילו הצעיר ונסיבותיו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הסנגור ביקש לחלוק על מתחם העונש הראוי לו טען ב</w:t>
      </w:r>
      <w:r>
        <w:rPr>
          <w:rtl w:val="true"/>
        </w:rPr>
        <w:t>"</w:t>
      </w:r>
      <w:r>
        <w:rPr>
          <w:rtl w:val="true"/>
        </w:rPr>
        <w:t>כ המאשימה והגיש מגוון פסיקה המלמדת על הטלת עונשים בדמות עבודות שירות ואפילו מאסר צופה פני עתיד</w:t>
      </w:r>
      <w:r>
        <w:rPr>
          <w:rtl w:val="true"/>
        </w:rPr>
        <w:t xml:space="preserve">, </w:t>
      </w:r>
      <w:r>
        <w:rPr>
          <w:rtl w:val="true"/>
        </w:rPr>
        <w:t>גם כשמדובר היה בעבירות נשק חמורות 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כפי שמורה לנו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מתחם הענישה נדרש להלום את מעשה העבירה שביצע הנאשם</w:t>
      </w:r>
      <w:r>
        <w:rPr>
          <w:rtl w:val="true"/>
        </w:rPr>
        <w:t xml:space="preserve">, </w:t>
      </w:r>
      <w:r>
        <w:rPr>
          <w:rtl w:val="true"/>
        </w:rPr>
        <w:t xml:space="preserve">ובקביעתו יתחשב בית המשפט בנסיבות הקשורות בביצוע העבירה כמפורט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בערך החברתי שנפגע מביצוע העבירה וממידת הפגיעה בו</w:t>
      </w:r>
      <w:r>
        <w:rPr>
          <w:rtl w:val="true"/>
        </w:rPr>
        <w:t xml:space="preserve">, </w:t>
      </w:r>
      <w:r>
        <w:rPr>
          <w:rtl w:val="true"/>
        </w:rPr>
        <w:t>וכן במדיניות הענישה הנוהגת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צורך להכביר במלים אודות הסכנה הטמונה בביצוע עבירות בנשק לביטחון הציבור והפרט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אנו עדים לאלימות גואה מדי יום תוך שימוש בנשק חם באופן שפוגע בשלום גופם ושלוות נפשם של הציבור</w:t>
      </w:r>
      <w:r>
        <w:rPr>
          <w:rtl w:val="true"/>
        </w:rPr>
        <w:t xml:space="preserve">, </w:t>
      </w:r>
      <w:r>
        <w:rPr>
          <w:rtl w:val="true"/>
        </w:rPr>
        <w:t>ולצערנו אף לקיפוח חיי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בהיות הזכות לביטחון הגוף והנפש ערך בסיסי לקיומנו כבני אדם בחברה אנושית מתוקנת</w:t>
      </w:r>
      <w:r>
        <w:rPr>
          <w:rtl w:val="true"/>
        </w:rPr>
        <w:t xml:space="preserve">, </w:t>
      </w:r>
      <w:r>
        <w:rPr>
          <w:rtl w:val="true"/>
        </w:rPr>
        <w:t>ברי כי שיקולי ההלימה מחייבים העדפה ברורה של האינטרס הציבורי על פני האינטרס האישי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אקדים לומר כי במקרה דנן העבירה המיוחסת לנאשם בדבר החזקת נשק</w:t>
      </w:r>
      <w:r>
        <w:rPr>
          <w:rtl w:val="true"/>
        </w:rPr>
        <w:t xml:space="preserve">, </w:t>
      </w:r>
      <w:r>
        <w:rPr>
          <w:rtl w:val="true"/>
        </w:rPr>
        <w:t>חלקי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היא במדרג התחתון של עבירות הנשק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שבסעיף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 מעליה ניתן למצוא הובלה או נשיאה של נשק</w:t>
      </w:r>
      <w:r>
        <w:rPr>
          <w:rtl w:val="true"/>
        </w:rPr>
        <w:t xml:space="preserve">, </w:t>
      </w:r>
      <w:r>
        <w:rPr>
          <w:rtl w:val="true"/>
        </w:rPr>
        <w:t>ומעל כל אלה ייצור או סחר 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 יש לציין</w:t>
      </w:r>
      <w:r>
        <w:rPr>
          <w:rtl w:val="true"/>
        </w:rPr>
        <w:t xml:space="preserve">, </w:t>
      </w:r>
      <w:r>
        <w:rPr>
          <w:rtl w:val="true"/>
        </w:rPr>
        <w:t>כי מרבית הפריטים אשר נתפסו אצל הנאשם הם בגדר תחמושת ולא בנשק ממש</w:t>
      </w:r>
      <w:r>
        <w:rPr>
          <w:rtl w:val="true"/>
        </w:rPr>
        <w:t xml:space="preserve">, </w:t>
      </w:r>
      <w:r>
        <w:rPr>
          <w:rtl w:val="true"/>
        </w:rPr>
        <w:t xml:space="preserve">כאשר רק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רימוני הלם הם בגדר 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 זאת אני מוצאת</w:t>
      </w:r>
      <w:r>
        <w:rPr>
          <w:rtl w:val="true"/>
        </w:rPr>
        <w:t xml:space="preserve">, </w:t>
      </w:r>
      <w:r>
        <w:rPr>
          <w:rtl w:val="true"/>
        </w:rPr>
        <w:t>כי ההיקף הגדול של התחמושת בה החזיק הנאשם מקפיץ חזרה כלפי מעלה את רף החומרה של העבירות והמסוכנות הנשקפת ממנו</w:t>
      </w:r>
      <w:r>
        <w:rPr>
          <w:rtl w:val="true"/>
        </w:rPr>
        <w:t xml:space="preserve">, </w:t>
      </w:r>
      <w:r>
        <w:rPr>
          <w:rtl w:val="true"/>
        </w:rPr>
        <w:t xml:space="preserve">הגם שמדובר בעבירת </w:t>
      </w:r>
      <w:r>
        <w:rPr>
          <w:rtl w:val="true"/>
        </w:rPr>
        <w:t>'</w:t>
      </w:r>
      <w:r>
        <w:rPr>
          <w:rtl w:val="true"/>
        </w:rPr>
        <w:t>החזקה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 שצוין מקודם</w:t>
      </w:r>
      <w:r>
        <w:rPr>
          <w:rtl w:val="true"/>
        </w:rPr>
        <w:t xml:space="preserve">, </w:t>
      </w:r>
      <w:r>
        <w:rPr>
          <w:rtl w:val="true"/>
        </w:rPr>
        <w:t xml:space="preserve">מלבד לששה רימוני הלם ומספר מחסניות הנאשם נמצא מחזיק גם בכדורים </w:t>
      </w:r>
      <w:r>
        <w:rPr>
          <w:rtl w:val="true"/>
        </w:rPr>
        <w:t>'</w:t>
      </w:r>
      <w:r>
        <w:rPr>
          <w:rtl w:val="true"/>
        </w:rPr>
        <w:t>חיים</w:t>
      </w:r>
      <w:r>
        <w:rPr>
          <w:rtl w:val="true"/>
        </w:rPr>
        <w:t xml:space="preserve">' </w:t>
      </w:r>
      <w:r>
        <w:rPr>
          <w:rtl w:val="true"/>
        </w:rPr>
        <w:t>במגוון סוגים וגדלים בהיקף של כאלף כדורים</w:t>
      </w:r>
      <w:r>
        <w:rPr>
          <w:rtl w:val="true"/>
        </w:rPr>
        <w:t xml:space="preserve">, </w:t>
      </w:r>
      <w:r>
        <w:rPr>
          <w:rtl w:val="true"/>
        </w:rPr>
        <w:t>לא פחות</w:t>
      </w:r>
      <w:r>
        <w:rPr>
          <w:rtl w:val="true"/>
        </w:rPr>
        <w:t xml:space="preserve">!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ללא התחמושת לא ניתן לעשות שימוש בנשק ולבצע באמצעותו עבירות אלימות</w:t>
      </w:r>
      <w:r>
        <w:rPr>
          <w:rtl w:val="true"/>
        </w:rPr>
        <w:t xml:space="preserve">. </w:t>
      </w:r>
      <w:r>
        <w:rPr>
          <w:rtl w:val="true"/>
        </w:rPr>
        <w:t>לפיכך ענישה מחמירה גם באשר למרכיב זה</w:t>
      </w:r>
      <w:r>
        <w:rPr>
          <w:rtl w:val="true"/>
        </w:rPr>
        <w:t xml:space="preserve">, </w:t>
      </w:r>
      <w:r>
        <w:rPr>
          <w:rtl w:val="true"/>
        </w:rPr>
        <w:t>תביא לפגיעה בחוליה משמעותית בשרשרת העבריינית ותביא להורדת רמת האלימות בחברה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לכל אלה יש להוסיף</w:t>
      </w:r>
      <w:r>
        <w:rPr>
          <w:rtl w:val="true"/>
        </w:rPr>
        <w:t xml:space="preserve">, </w:t>
      </w:r>
      <w:r>
        <w:rPr>
          <w:rtl w:val="true"/>
        </w:rPr>
        <w:t>כי גם בהחזקת נשק עסקינן</w:t>
      </w:r>
      <w:r>
        <w:rPr>
          <w:rtl w:val="true"/>
        </w:rPr>
        <w:t xml:space="preserve">, </w:t>
      </w:r>
      <w:r>
        <w:rPr>
          <w:rtl w:val="true"/>
        </w:rPr>
        <w:t>וזאת לנוכח החזקת הנאשם בששה רימוני הלם</w:t>
      </w:r>
      <w:r>
        <w:rPr>
          <w:rtl w:val="true"/>
        </w:rPr>
        <w:t xml:space="preserve">. </w:t>
      </w:r>
      <w:r>
        <w:rPr>
          <w:rtl w:val="true"/>
        </w:rPr>
        <w:t>בהקשר זה אבקש להבהיר</w:t>
      </w:r>
      <w:r>
        <w:rPr>
          <w:rtl w:val="true"/>
        </w:rPr>
        <w:t xml:space="preserve">, </w:t>
      </w:r>
      <w:r>
        <w:rPr>
          <w:rtl w:val="true"/>
        </w:rPr>
        <w:t>כי לנוכח האמור בחוות הדעת של מעבדת החבלה</w:t>
      </w:r>
      <w:r>
        <w:rPr>
          <w:rtl w:val="true"/>
        </w:rPr>
        <w:t xml:space="preserve">, </w:t>
      </w:r>
      <w:r>
        <w:rPr>
          <w:rtl w:val="true"/>
        </w:rPr>
        <w:t>בדבר פוטנציאל הפגיעה הגופנית הטמון ברימונים מהסוג המדובר</w:t>
      </w:r>
      <w:r>
        <w:rPr>
          <w:rtl w:val="true"/>
        </w:rPr>
        <w:t xml:space="preserve">, </w:t>
      </w:r>
      <w:r>
        <w:rPr>
          <w:rtl w:val="true"/>
        </w:rPr>
        <w:t>אין להמעיט מחומרתם כפי שהסנגור ניסה לצייר בטיעוניו</w:t>
      </w:r>
      <w:r>
        <w:rPr>
          <w:rtl w:val="true"/>
        </w:rPr>
        <w:t xml:space="preserve">, </w:t>
      </w:r>
      <w:r>
        <w:rPr>
          <w:rtl w:val="true"/>
        </w:rPr>
        <w:t>ודאי וודאי שאין מקום שלא להתייחס אליהם כאל נשק לכל דבר ועניין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למעלה מכך</w:t>
      </w:r>
      <w:r>
        <w:rPr>
          <w:rtl w:val="true"/>
        </w:rPr>
        <w:t xml:space="preserve">, </w:t>
      </w:r>
      <w:r>
        <w:rPr>
          <w:rtl w:val="true"/>
        </w:rPr>
        <w:t>אין לי אלא לתהות אודות המניעים אשר הביאו את הנאשם להחזיק בכמות כה גדולה של תחמושת ונשק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לפי גרסת הנאשם</w:t>
      </w:r>
      <w:r>
        <w:rPr>
          <w:rtl w:val="true"/>
        </w:rPr>
        <w:t xml:space="preserve">, </w:t>
      </w:r>
      <w:r>
        <w:rPr>
          <w:rtl w:val="true"/>
        </w:rPr>
        <w:t>הוא מצא את הנשק</w:t>
      </w:r>
      <w:r>
        <w:rPr>
          <w:rtl w:val="true"/>
        </w:rPr>
        <w:t xml:space="preserve">, </w:t>
      </w:r>
      <w:r>
        <w:rPr>
          <w:rtl w:val="true"/>
        </w:rPr>
        <w:t>חלקי הנשק והתחמושת בזמן שליקט עצים להסקה בשטח פתוח</w:t>
      </w:r>
      <w:r>
        <w:rPr>
          <w:rtl w:val="true"/>
        </w:rPr>
        <w:t xml:space="preserve">, </w:t>
      </w:r>
      <w:r>
        <w:rPr>
          <w:rtl w:val="true"/>
        </w:rPr>
        <w:t>הוא אסף אותם והחביא אותם במחסן ששייך לאחר אך נמצא בשליטתו והחזקתו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הוא חשש לדווח למשטרה אודות האמל</w:t>
      </w:r>
      <w:r>
        <w:rPr>
          <w:rtl w:val="true"/>
        </w:rPr>
        <w:t>"</w:t>
      </w:r>
      <w:r>
        <w:rPr>
          <w:rtl w:val="true"/>
        </w:rPr>
        <w:t>ח שמצא פן יחשדו בו כמי שמעורב בביצוע מעשה 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הגם שבכתב האישום המאשימה אינה מייחסת לנאשם כוונה לעשות שימוש באמל</w:t>
      </w:r>
      <w:r>
        <w:rPr>
          <w:rtl w:val="true"/>
        </w:rPr>
        <w:t>"</w:t>
      </w:r>
      <w:r>
        <w:rPr>
          <w:rtl w:val="true"/>
        </w:rPr>
        <w:t>ח שנתגלה אצלו</w:t>
      </w:r>
      <w:r>
        <w:rPr>
          <w:rtl w:val="true"/>
        </w:rPr>
        <w:t xml:space="preserve">, </w:t>
      </w:r>
      <w:r>
        <w:rPr>
          <w:rtl w:val="true"/>
        </w:rPr>
        <w:t>ועל אף שהמאשימה אינה מפרטת את המניעים אשר הביאו אותו לעשות מה שעשה</w:t>
      </w:r>
      <w:r>
        <w:rPr>
          <w:rtl w:val="true"/>
        </w:rPr>
        <w:t xml:space="preserve">, </w:t>
      </w:r>
      <w:r>
        <w:rPr>
          <w:rtl w:val="true"/>
        </w:rPr>
        <w:t>ברם אין לי אלא לתהות</w:t>
      </w:r>
      <w:r>
        <w:rPr>
          <w:rtl w:val="true"/>
        </w:rPr>
        <w:t xml:space="preserve">, </w:t>
      </w:r>
      <w:r>
        <w:rPr>
          <w:rtl w:val="true"/>
        </w:rPr>
        <w:t>האם כוונות תמימות עומדות ביסוד מעשה מסוג זה</w:t>
      </w:r>
      <w:r>
        <w:rPr>
          <w:rtl w:val="true"/>
        </w:rPr>
        <w:t xml:space="preserve">? </w:t>
      </w:r>
      <w:r>
        <w:rPr>
          <w:rtl w:val="true"/>
        </w:rPr>
        <w:t>האם אדם נורמטיבי שיודע להבדיל בין טוב ורע</w:t>
      </w:r>
      <w:r>
        <w:rPr>
          <w:rtl w:val="true"/>
        </w:rPr>
        <w:t xml:space="preserve">, </w:t>
      </w:r>
      <w:r>
        <w:rPr>
          <w:rtl w:val="true"/>
        </w:rPr>
        <w:t>היה טורח לשאת את כל כמויות האמל</w:t>
      </w:r>
      <w:r>
        <w:rPr>
          <w:rtl w:val="true"/>
        </w:rPr>
        <w:t>"</w:t>
      </w:r>
      <w:r>
        <w:rPr>
          <w:rtl w:val="true"/>
        </w:rPr>
        <w:t>ח שמצא באופן מקרי לחלוטין במקום מסוים</w:t>
      </w:r>
      <w:r>
        <w:rPr>
          <w:rtl w:val="true"/>
        </w:rPr>
        <w:t xml:space="preserve">, </w:t>
      </w:r>
      <w:r>
        <w:rPr>
          <w:rtl w:val="true"/>
        </w:rPr>
        <w:t>להעביר אותם למקום ולהסתיר אותם במקום מסתור כך לשם שמיים וללא סיבה</w:t>
      </w:r>
      <w:r>
        <w:rPr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דומני כי התשובה גלומה בעצם התהייה העולה מהשאלה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אשר לרמת הענישה הנוהגת בעבירה מסוג זה</w:t>
      </w:r>
      <w:r>
        <w:rPr>
          <w:rtl w:val="true"/>
        </w:rPr>
        <w:t xml:space="preserve">, </w:t>
      </w:r>
      <w:r>
        <w:rPr>
          <w:rtl w:val="true"/>
        </w:rPr>
        <w:t>אבקש לציין</w:t>
      </w:r>
      <w:r>
        <w:rPr>
          <w:rtl w:val="true"/>
        </w:rPr>
        <w:t xml:space="preserve">, </w:t>
      </w:r>
      <w:r>
        <w:rPr>
          <w:rtl w:val="true"/>
        </w:rPr>
        <w:t>כי שני הצדדים הגישו לעיוני פסיקה שונה המגלה לא מעט פערים בנוגע למדיניות הנוהגת בעבירות כגון אלו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ניתן להצביע על מספר מקרים בהם הוטלו על נאשמים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גם כאשר מדובר היה בהחזקת אקדח</w:t>
      </w:r>
      <w:r>
        <w:rPr>
          <w:rtl w:val="true"/>
        </w:rPr>
        <w:t xml:space="preserve">. </w:t>
      </w:r>
      <w:r>
        <w:rPr>
          <w:rtl w:val="true"/>
        </w:rPr>
        <w:t xml:space="preserve">מנגד ניתן להצביע על מקרים אחרים בהם הוטל מאסר לתקופה שנעה בין </w:t>
      </w:r>
      <w:r>
        <w:rPr/>
        <w:t>10-12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איסמעיל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25.10.2010</w:t>
      </w:r>
      <w:r>
        <w:rPr>
          <w:rtl w:val="true"/>
        </w:rPr>
        <w:t xml:space="preserve">), </w:t>
      </w:r>
      <w:r>
        <w:rPr>
          <w:rtl w:val="true"/>
        </w:rPr>
        <w:t xml:space="preserve">מדובר היה בנאשם אשר החזיק ברכבו באקדח טעון ובתחמושת במצב נצור והוטלו עליו בבית המשפט המחוזי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על תנאי וקנס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העליון דחה את הערעור על חומרת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תיק פלילי </w:t>
        </w:r>
        <w:r>
          <w:rPr>
            <w:rStyle w:val="Hyperlink"/>
            <w:color w:val="0000FF"/>
            <w:u w:val="single"/>
          </w:rPr>
          <w:t>5576-05-12</w:t>
        </w:r>
      </w:hyperlink>
      <w:r>
        <w:rPr>
          <w:rtl w:val="true"/>
        </w:rPr>
        <w:t xml:space="preserve"> (</w:t>
      </w:r>
      <w:r>
        <w:rPr>
          <w:rtl w:val="true"/>
        </w:rPr>
        <w:t>שלום חדרה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מברצקי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מדובר היה בנאשם שהורשע בהחזקת אקדח מסוג ברטה לאחר שרכש אותו מאחר כמו כן נמצא הנאשם מחזיק שתי מחסניות תואמות המכילות בתוכן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תואמים בכל אחת מהמחסניות</w:t>
      </w:r>
      <w:r>
        <w:rPr>
          <w:rtl w:val="true"/>
        </w:rPr>
        <w:t xml:space="preserve">, </w:t>
      </w:r>
      <w:r>
        <w:rPr>
          <w:rtl w:val="true"/>
        </w:rPr>
        <w:t>וקופסאות שהכילו עשרות כדורים ותרמילים מסוגים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גזר על הנאשם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5.10.2011</w:t>
      </w:r>
      <w:r>
        <w:rPr>
          <w:rtl w:val="true"/>
        </w:rPr>
        <w:t xml:space="preserve">), </w:t>
      </w:r>
      <w:r>
        <w:rPr>
          <w:rtl w:val="true"/>
        </w:rPr>
        <w:t>דחה בית המשפט העליון ערעור על פס</w:t>
      </w:r>
      <w:r>
        <w:rPr>
          <w:rtl w:val="true"/>
        </w:rPr>
        <w:t>"</w:t>
      </w:r>
      <w:r>
        <w:rPr>
          <w:rtl w:val="true"/>
        </w:rPr>
        <w:t xml:space="preserve">ד בו השית בית המשפט המחוזי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בגין עבירות של החזקת נשק ותחמושת לאחר שנתפסו אצל הנאשם בחיפוש בביתו אקדח מסוג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 xml:space="preserve">ומחסנית לאקדח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 המשפט העליון הוסיף</w:t>
      </w:r>
      <w:r>
        <w:rPr>
          <w:rtl w:val="true"/>
        </w:rPr>
        <w:t xml:space="preserve">, </w:t>
      </w:r>
      <w:r>
        <w:rPr>
          <w:rtl w:val="true"/>
        </w:rPr>
        <w:t>כי אף אם האקדח שנתפס לא היה תקין</w:t>
      </w:r>
      <w:r>
        <w:rPr>
          <w:rtl w:val="true"/>
        </w:rPr>
        <w:t xml:space="preserve">, </w:t>
      </w:r>
      <w:r>
        <w:rPr>
          <w:rtl w:val="true"/>
        </w:rPr>
        <w:t>אין בכך כדי למזער את המסוכנות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11205-01-12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רישאת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9.5.2012</w:t>
      </w:r>
      <w:r>
        <w:rPr>
          <w:rtl w:val="true"/>
        </w:rPr>
        <w:t xml:space="preserve">) </w:t>
      </w:r>
      <w:r>
        <w:rPr>
          <w:rtl w:val="true"/>
        </w:rPr>
        <w:t>מדובר היה בנאשם אשר הורשע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 xml:space="preserve">בהחזקת נשק ברכב </w:t>
      </w:r>
      <w:r>
        <w:rPr>
          <w:rtl w:val="true"/>
        </w:rPr>
        <w:t>(</w:t>
      </w:r>
      <w:r>
        <w:rPr>
          <w:rtl w:val="true"/>
        </w:rPr>
        <w:t>אקדח ושתי מחסניות עם כדורים</w:t>
      </w:r>
      <w:r>
        <w:rPr>
          <w:rtl w:val="true"/>
        </w:rPr>
        <w:t xml:space="preserve">) </w:t>
      </w:r>
      <w:r>
        <w:rPr>
          <w:rtl w:val="true"/>
        </w:rPr>
        <w:t>וכן החזקת סכין</w:t>
      </w:r>
      <w:r>
        <w:rPr>
          <w:rtl w:val="true"/>
        </w:rPr>
        <w:t xml:space="preserve">. </w:t>
      </w:r>
      <w:r>
        <w:rPr>
          <w:rtl w:val="true"/>
        </w:rPr>
        <w:t xml:space="preserve">העונש שהוטל על הנאשם עמד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ניתן להצביע על מקרים המשקפים ענישה קלה באופן משמעותי</w:t>
      </w:r>
      <w:r>
        <w:rPr>
          <w:rtl w:val="true"/>
        </w:rPr>
        <w:t xml:space="preserve">, </w:t>
      </w:r>
      <w:r>
        <w:rPr>
          <w:rtl w:val="true"/>
        </w:rPr>
        <w:t>במסגרתה הטילו בתי המשפט עונשי 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כך לדוגמה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אקרמן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1.3.2011</w:t>
      </w:r>
      <w:r>
        <w:rPr>
          <w:rtl w:val="true"/>
        </w:rPr>
        <w:t xml:space="preserve">) </w:t>
      </w:r>
      <w:r>
        <w:rPr>
          <w:rtl w:val="true"/>
        </w:rPr>
        <w:t>המתייחס לנאשם אשר החזיק לבנת חבלה המכילה כ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גרם חומר נפץ מרסק ואצבע חבלה המכילה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 חומר נפץ מרסק</w:t>
      </w:r>
      <w:r>
        <w:rPr>
          <w:rtl w:val="true"/>
        </w:rPr>
        <w:t xml:space="preserve">, </w:t>
      </w:r>
      <w:r>
        <w:rPr>
          <w:rtl w:val="true"/>
        </w:rPr>
        <w:t>ובהמשך מסר את חומרי החבלה לאחר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הטיל על הנאשם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אולם בית המשפט העליון</w:t>
      </w:r>
      <w:r>
        <w:rPr>
          <w:rtl w:val="true"/>
        </w:rPr>
        <w:t xml:space="preserve">, </w:t>
      </w:r>
      <w:r>
        <w:rPr>
          <w:rtl w:val="true"/>
        </w:rPr>
        <w:t>נוכח 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החליט להקל בעונש ולהעמידו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4318-10-11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רפאילוב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5.1.2012</w:t>
      </w:r>
      <w:r>
        <w:rPr>
          <w:rtl w:val="true"/>
        </w:rPr>
        <w:t xml:space="preserve">) </w:t>
      </w:r>
      <w:r>
        <w:rPr>
          <w:rtl w:val="true"/>
        </w:rPr>
        <w:t xml:space="preserve">דובר היה בנאשם אשר החזיק בביתו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לבנות חבלה</w:t>
      </w:r>
      <w:r>
        <w:rPr>
          <w:rtl w:val="true"/>
        </w:rPr>
        <w:t xml:space="preserve">,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גרם כל אחת</w:t>
      </w:r>
      <w:r>
        <w:rPr>
          <w:rtl w:val="true"/>
        </w:rPr>
        <w:t xml:space="preserve">, </w:t>
      </w:r>
      <w:r>
        <w:rPr>
          <w:rtl w:val="true"/>
        </w:rPr>
        <w:t xml:space="preserve">המכילות חומר נפץ מסוג </w:t>
      </w:r>
      <w:r>
        <w:rPr/>
        <w:t>T.N.T</w:t>
      </w:r>
      <w:r>
        <w:rPr>
          <w:rtl w:val="true"/>
        </w:rPr>
        <w:t xml:space="preserve">, </w:t>
      </w:r>
      <w:r>
        <w:rPr>
          <w:rtl w:val="true"/>
        </w:rPr>
        <w:t>רימון יד עשן כחול</w:t>
      </w:r>
      <w:r>
        <w:rPr>
          <w:rtl w:val="true"/>
        </w:rPr>
        <w:t xml:space="preserve">, </w:t>
      </w:r>
      <w:r>
        <w:rPr>
          <w:rtl w:val="true"/>
        </w:rPr>
        <w:t>ורימון יד מדוכה גז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בחיפה דחה את ערעור המדינה על קולת העונש והותיר על כנו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בשים לב למכלול הנתונים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שמתחם העונש הראוי 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בהינתן הדעת לנסיבותיו של הנאשם אין להתעלם ממסקנות שרות המבחן ביחס לצורך הטיפולי</w:t>
      </w:r>
      <w:r>
        <w:rPr>
          <w:rtl w:val="true"/>
        </w:rPr>
        <w:t xml:space="preserve">, </w:t>
      </w:r>
      <w:r>
        <w:rPr>
          <w:rtl w:val="true"/>
        </w:rPr>
        <w:t>ומנגד להעדר נכונות אמיתית של הנאשם לקבל טיפול</w:t>
      </w:r>
      <w:r>
        <w:rPr>
          <w:rtl w:val="true"/>
        </w:rPr>
        <w:t xml:space="preserve">. </w:t>
      </w:r>
      <w:r>
        <w:rPr>
          <w:rtl w:val="true"/>
        </w:rPr>
        <w:t>ומתוקף כך</w:t>
      </w:r>
      <w:r>
        <w:rPr>
          <w:rtl w:val="true"/>
        </w:rPr>
        <w:t xml:space="preserve">, </w:t>
      </w:r>
      <w:r>
        <w:rPr>
          <w:rtl w:val="true"/>
        </w:rPr>
        <w:t>המסוכנות הגבוהה הנשקפת ממנו לביצוע עבירות בעתיד ולנוכח כך</w:t>
      </w:r>
      <w:r>
        <w:rPr>
          <w:rtl w:val="true"/>
        </w:rPr>
        <w:t xml:space="preserve">, </w:t>
      </w:r>
      <w:r>
        <w:rPr>
          <w:rtl w:val="true"/>
        </w:rPr>
        <w:t>הצורך בענישה מוחשית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יש לקחת בחשבון הודאת הנאשם בהזדמנות הראשונה הן במשטרה והן בבית המשפט והזמן השיפוטי שנחסך עקב 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לקחתי בחשבון</w:t>
      </w:r>
      <w:r>
        <w:rPr>
          <w:rtl w:val="true"/>
        </w:rPr>
        <w:t xml:space="preserve">, </w:t>
      </w:r>
      <w:r>
        <w:rPr>
          <w:rtl w:val="true"/>
        </w:rPr>
        <w:t>אם כי במידה מוגבלת</w:t>
      </w:r>
      <w:r>
        <w:rPr>
          <w:rtl w:val="true"/>
        </w:rPr>
        <w:t xml:space="preserve">, </w:t>
      </w:r>
      <w:r>
        <w:rPr>
          <w:rtl w:val="true"/>
        </w:rPr>
        <w:t>את נסיבותיו האישיות של הנאשם והנסיבות המיוחדות של משפחתו</w:t>
      </w:r>
      <w:r>
        <w:rPr>
          <w:rtl w:val="true"/>
        </w:rPr>
        <w:t xml:space="preserve">, </w:t>
      </w:r>
      <w:r>
        <w:rPr>
          <w:rtl w:val="true"/>
        </w:rPr>
        <w:t>ובפרט זו של אמו</w:t>
      </w:r>
      <w:r>
        <w:rPr>
          <w:rtl w:val="true"/>
        </w:rPr>
        <w:t xml:space="preserve">, </w:t>
      </w:r>
      <w:r>
        <w:rPr>
          <w:rtl w:val="true"/>
        </w:rPr>
        <w:t>כמו גם</w:t>
      </w:r>
      <w:r>
        <w:rPr>
          <w:rtl w:val="true"/>
        </w:rPr>
        <w:t xml:space="preserve">, </w:t>
      </w:r>
      <w:r>
        <w:rPr>
          <w:rtl w:val="true"/>
        </w:rPr>
        <w:t>התרומה שלו לחברה ולקהילה בה הוא חי</w:t>
      </w:r>
      <w:r>
        <w:rPr>
          <w:rtl w:val="true"/>
        </w:rPr>
        <w:t xml:space="preserve">. </w:t>
      </w:r>
      <w:r>
        <w:rPr>
          <w:rtl w:val="true"/>
        </w:rPr>
        <w:t>ציינתי כי נסיבותיו האישיות של הנאשם נשקלו באופן מוגבל משום שברור כי השיקול האישי נסוג מפני השיקול הציבורי</w:t>
      </w:r>
      <w:r>
        <w:rPr>
          <w:rtl w:val="true"/>
        </w:rPr>
        <w:t xml:space="preserve">, </w:t>
      </w:r>
      <w:r>
        <w:rPr>
          <w:rtl w:val="true"/>
        </w:rPr>
        <w:t>כפי שצויין מקודם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לקחתי בחשבון את גילו הצעיר של הנאשם והעובדה שלחובתו הרשעה אחת בלבד בעבירה שקשורה לנשק 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יסוד כל המפורט לעיל</w:t>
      </w:r>
      <w:r>
        <w:rPr>
          <w:rtl w:val="true"/>
        </w:rPr>
        <w:t xml:space="preserve">, </w:t>
      </w:r>
      <w:r>
        <w:rPr>
          <w:rtl w:val="true"/>
        </w:rPr>
        <w:t>אני מוצאת כי העונש במתאים במקרה דנן נופל בתוך מתחם העונש הראוי ונוטה במידה מסויימת לעבר הרף העליון שלו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 xml:space="preserve">אני גוזרת על הנאשם את העונשים הבאים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חודשים מיום מעצרו בתאריך </w:t>
      </w:r>
      <w:r>
        <w:rPr/>
        <w:t>3.3.14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במשך שלוש שנים והתנאי הוא כי הנאשם לא יבצע בתקופה זו עבירת נשק ויורשע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בסכום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 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1.6.2015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עוקב</w:t>
      </w:r>
      <w:r>
        <w:rPr>
          <w:rtl w:val="true"/>
        </w:rPr>
        <w:t xml:space="preserve">, </w:t>
      </w:r>
      <w:r>
        <w:rPr>
          <w:rtl w:val="true"/>
        </w:rPr>
        <w:t>אי עמידה באחד התשלומים תביא לפרעון מיידי של יתרת 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מורה על חילוט המוצגים התפוסים בגין התיק דנן לטובת המדינה או לפי כל החלטה שתינתן ע</w:t>
      </w:r>
      <w:r>
        <w:rPr>
          <w:rtl w:val="true"/>
        </w:rPr>
        <w:t>"</w:t>
      </w:r>
      <w:r>
        <w:rPr>
          <w:rtl w:val="true"/>
        </w:rPr>
        <w:t>י קצין 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03/07/2014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טנוס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ני טנוס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6532-03-14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עמיד רעד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950172" TargetMode="External"/><Relationship Id="rId16" Type="http://schemas.openxmlformats.org/officeDocument/2006/relationships/hyperlink" Target="http://www.nevo.co.il/case/4338062" TargetMode="External"/><Relationship Id="rId17" Type="http://schemas.openxmlformats.org/officeDocument/2006/relationships/hyperlink" Target="http://www.nevo.co.il/case/6024035" TargetMode="External"/><Relationship Id="rId18" Type="http://schemas.openxmlformats.org/officeDocument/2006/relationships/hyperlink" Target="http://www.nevo.co.il/case/4234303" TargetMode="External"/><Relationship Id="rId19" Type="http://schemas.openxmlformats.org/officeDocument/2006/relationships/hyperlink" Target="http://www.nevo.co.il/case/5678001" TargetMode="External"/><Relationship Id="rId20" Type="http://schemas.openxmlformats.org/officeDocument/2006/relationships/hyperlink" Target="http://www.nevo.co.il/case/2894643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2014-07-08T08:14:00Z</dcterms:created>
  <dc:creator> </dc:creator>
  <dc:description/>
  <cp:keywords/>
  <dc:language>en-IL</dc:language>
  <cp:lastModifiedBy>hofit</cp:lastModifiedBy>
  <dcterms:modified xsi:type="dcterms:W3CDTF">2014-07-08T08:14:00Z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עמיד רעד</vt:lpwstr>
  </property>
  <property fmtid="{D5CDD505-2E9C-101B-9397-08002B2CF9AE}" pid="4" name="CASESLISTTMP1">
    <vt:lpwstr>5950172;4338062;6024035;4234303;5678001;2894643</vt:lpwstr>
  </property>
  <property fmtid="{D5CDD505-2E9C-101B-9397-08002B2CF9AE}" pid="5" name="CITY">
    <vt:lpwstr>עכו</vt:lpwstr>
  </property>
  <property fmtid="{D5CDD505-2E9C-101B-9397-08002B2CF9AE}" pid="6" name="DATE">
    <vt:lpwstr>20140703</vt:lpwstr>
  </property>
  <property fmtid="{D5CDD505-2E9C-101B-9397-08002B2CF9AE}" pid="7" name="ISABSTRACT">
    <vt:lpwstr>Y</vt:lpwstr>
  </property>
  <property fmtid="{D5CDD505-2E9C-101B-9397-08002B2CF9AE}" pid="8" name="JUDGE">
    <vt:lpwstr>ג'ני טנוס</vt:lpwstr>
  </property>
  <property fmtid="{D5CDD505-2E9C-101B-9397-08002B2CF9AE}" pid="9" name="LAWLISTTMP1">
    <vt:lpwstr>70301/144.a:2;040c.a;040i;144</vt:lpwstr>
  </property>
  <property fmtid="{D5CDD505-2E9C-101B-9397-08002B2CF9AE}" pid="10" name="LAWYER">
    <vt:lpwstr>גל ירדן הובא סעיד סמור</vt:lpwstr>
  </property>
  <property fmtid="{D5CDD505-2E9C-101B-9397-08002B2CF9AE}" pid="11" name="NEWPARTA">
    <vt:lpwstr>6532</vt:lpwstr>
  </property>
  <property fmtid="{D5CDD505-2E9C-101B-9397-08002B2CF9AE}" pid="12" name="NEWPARTB">
    <vt:lpwstr>03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380020140703</vt:lpwstr>
  </property>
  <property fmtid="{D5CDD505-2E9C-101B-9397-08002B2CF9AE}" pid="18" name="TYPE_N_DATE">
    <vt:lpwstr>38020140703</vt:lpwstr>
  </property>
  <property fmtid="{D5CDD505-2E9C-101B-9397-08002B2CF9AE}" pid="19" name="WORDNUMPAGES">
    <vt:lpwstr>8</vt:lpwstr>
  </property>
</Properties>
</file>