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rFonts w:cs="FrankRuehl"/>
                  <w:color w:val="0000FF"/>
                  <w:sz w:val="28"/>
                  <w:szCs w:val="28"/>
                  <w:u w:val="single"/>
                </w:rPr>
                <w:t>65378-12-19</w:t>
              </w:r>
              <w:r>
                <w:rPr>
                  <w:rStyle w:val="Hyperlink"/>
                  <w:rFonts w:cs="FrankRuehl"/>
                  <w:color w:val="0000FF"/>
                  <w:sz w:val="28"/>
                  <w:szCs w:val="28"/>
                  <w:u w:val="single"/>
                  <w:rtl w:val="true"/>
                </w:rPr>
                <w:t xml:space="preserve"> </w:t>
              </w:r>
            </w:hyperlink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סלאחאת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ג</w:t>
            </w:r>
            <w:r>
              <w:rPr>
                <w:rFonts w:cs="Arial" w:ascii="Arial" w:hAnsi="Arial"/>
                <w:b/>
                <w:bCs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ויה סקפה שפירא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סלאחאת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אקוקה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שושן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כללי</w:t>
      </w:r>
    </w:p>
    <w:p>
      <w:pPr>
        <w:pStyle w:val="Normal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bookmarkStart w:id="8" w:name="ABSTRACT_START"/>
      <w:bookmarkEnd w:id="8"/>
      <w:r>
        <w:rPr>
          <w:rFonts w:ascii="David" w:hAnsi="David"/>
          <w:rtl w:val="true"/>
        </w:rPr>
        <w:t>הנאשם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פי הודאתו בעובדות כתב אישום </w:t>
      </w:r>
      <w:r>
        <w:rPr>
          <w:rFonts w:ascii="David" w:hAnsi="David"/>
          <w:rtl w:val="true"/>
        </w:rPr>
        <w:t>מתוקן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בעבירות </w:t>
      </w:r>
      <w:r>
        <w:rPr>
          <w:rFonts w:ascii="David" w:hAnsi="David"/>
          <w:rtl w:val="true"/>
        </w:rPr>
        <w:t xml:space="preserve">החזקת נשק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החזקת 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כך ש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15.12.19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סמוך לחצות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ועד יום </w:t>
      </w:r>
      <w:r>
        <w:rPr>
          <w:rFonts w:cs="David" w:ascii="David" w:hAnsi="David"/>
        </w:rPr>
        <w:t>17.12.19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0</w:t>
      </w:r>
      <w:r>
        <w:rPr>
          <w:rFonts w:cs="David" w:ascii="David" w:hAnsi="David"/>
        </w:rPr>
        <w:t>2:30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החזיק </w:t>
      </w:r>
      <w:r>
        <w:rPr>
          <w:rFonts w:ascii="David" w:hAnsi="David"/>
          <w:rtl w:val="true"/>
        </w:rPr>
        <w:t>בביתו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בחדר ילדי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הנכים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 שחור ובו נשק דמוי ת</w:t>
      </w:r>
      <w:r>
        <w:rPr>
          <w:rFonts w:ascii="David" w:hAnsi="David"/>
          <w:rtl w:val="true"/>
        </w:rPr>
        <w:t xml:space="preserve">ת מקלע </w:t>
      </w:r>
      <w:r>
        <w:rPr>
          <w:rFonts w:ascii="David" w:hAnsi="David"/>
          <w:rtl w:val="true"/>
        </w:rPr>
        <w:t xml:space="preserve">מאולתר קליבר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א טעון במחסנית עם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בקליבר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ובצד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 קופסא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החזיק שמונה</w:t>
      </w:r>
      <w:r>
        <w:rPr>
          <w:rFonts w:ascii="David" w:hAnsi="David"/>
          <w:rtl w:val="true"/>
        </w:rPr>
        <w:t xml:space="preserve"> כדורים נוספים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bookmarkStart w:id="9" w:name="ABSTRACT_END"/>
      <w:bookmarkEnd w:id="9"/>
      <w:r>
        <w:rPr>
          <w:rFonts w:ascii="David" w:hAnsi="David"/>
          <w:rtl w:val="true"/>
        </w:rPr>
        <w:t xml:space="preserve">הצדדים הסכימו על עובדות נוספות ולפיהן </w:t>
      </w:r>
      <w:r>
        <w:rPr>
          <w:rFonts w:ascii="David" w:hAnsi="David"/>
          <w:rtl w:val="true"/>
        </w:rPr>
        <w:t xml:space="preserve">האקדח והתחמושת הובאו </w:t>
      </w:r>
      <w:r>
        <w:rPr>
          <w:rFonts w:ascii="David" w:hAnsi="David"/>
          <w:rtl w:val="true"/>
        </w:rPr>
        <w:t>לביתו של הנאשם על ידי</w:t>
      </w:r>
      <w:r>
        <w:rPr>
          <w:rFonts w:ascii="David" w:hAnsi="David"/>
          <w:rtl w:val="true"/>
        </w:rPr>
        <w:t xml:space="preserve"> אחיו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>א</w:t>
      </w:r>
      <w:r>
        <w:rPr>
          <w:rFonts w:ascii="David" w:hAnsi="David"/>
          <w:rtl w:val="true"/>
        </w:rPr>
        <w:t>לד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בתוך תיק שחור שאותו מסר </w:t>
      </w:r>
      <w:r>
        <w:rPr>
          <w:rFonts w:ascii="David" w:hAnsi="David"/>
          <w:rtl w:val="true"/>
        </w:rPr>
        <w:t xml:space="preserve">האח </w:t>
      </w:r>
      <w:r>
        <w:rPr>
          <w:rFonts w:ascii="David" w:hAnsi="David"/>
          <w:rtl w:val="true"/>
        </w:rPr>
        <w:t>לאשת הנאשם כשהנאשם לא היה בבית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מששב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לביתו וראה את תכולת התיק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התקשר אל אחיו </w:t>
      </w:r>
      <w:r>
        <w:rPr>
          <w:rFonts w:ascii="David" w:hAnsi="David"/>
          <w:rtl w:val="true"/>
        </w:rPr>
        <w:t xml:space="preserve">חאלד וביקש </w:t>
      </w:r>
      <w:r>
        <w:rPr>
          <w:rFonts w:ascii="David" w:hAnsi="David"/>
          <w:rtl w:val="true"/>
        </w:rPr>
        <w:t>שיבוא לקחת את ה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</w:t>
      </w:r>
      <w:r>
        <w:rPr>
          <w:rFonts w:ascii="David" w:hAnsi="David"/>
          <w:rtl w:val="true"/>
        </w:rPr>
        <w:t xml:space="preserve">חאלד </w:t>
      </w:r>
      <w:r>
        <w:rPr>
          <w:rFonts w:ascii="David" w:hAnsi="David"/>
          <w:rtl w:val="true"/>
        </w:rPr>
        <w:t>לא הגיע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הותיר הנאשם את הנשק בביתו ו</w:t>
      </w:r>
      <w:r>
        <w:rPr>
          <w:rFonts w:ascii="David" w:hAnsi="David"/>
          <w:rtl w:val="true"/>
        </w:rPr>
        <w:t>התקשר לאח</w:t>
      </w:r>
      <w:r>
        <w:rPr>
          <w:rFonts w:ascii="David" w:hAnsi="David"/>
          <w:rtl w:val="true"/>
        </w:rPr>
        <w:t xml:space="preserve"> אחר ולאחיותיו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בבקשה שישכנעו את חאלד לבוא ולקחת את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נותר בבית הנאשם עד להגעת המשטרה ובמשך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 נמצאה על ה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ראיה פורנזית הקושרת את הנאשם ע</w:t>
      </w:r>
      <w:r>
        <w:rPr>
          <w:rFonts w:ascii="David" w:hAnsi="David"/>
          <w:rtl w:val="true"/>
        </w:rPr>
        <w:t>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בחלק הפנימי של המחסנית </w:t>
      </w:r>
      <w:r>
        <w:rPr>
          <w:rFonts w:ascii="David" w:hAnsi="David"/>
          <w:rtl w:val="true"/>
        </w:rPr>
        <w:t xml:space="preserve">נמצא </w:t>
      </w:r>
      <w:r>
        <w:rPr>
          <w:rFonts w:cs="David" w:ascii="David" w:hAnsi="David"/>
        </w:rPr>
        <w:t>DNA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 אחיינו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 של חאלד שהותיר אצלו את 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ושמו כשם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ממצאי השלמת חקירה </w:t>
      </w:r>
      <w:r>
        <w:rPr>
          <w:rFonts w:ascii="David" w:hAnsi="David"/>
          <w:rtl w:val="true"/>
        </w:rPr>
        <w:t xml:space="preserve">שנערכה העלו </w:t>
      </w:r>
      <w:r>
        <w:rPr>
          <w:rFonts w:ascii="David" w:hAnsi="David"/>
          <w:rtl w:val="true"/>
        </w:rPr>
        <w:t xml:space="preserve">כי גרסת הנאשם ואשתו </w:t>
      </w:r>
      <w:r>
        <w:rPr>
          <w:rFonts w:ascii="David" w:hAnsi="David"/>
          <w:rtl w:val="true"/>
        </w:rPr>
        <w:t xml:space="preserve">במשטרה </w:t>
      </w:r>
      <w:r>
        <w:rPr>
          <w:rFonts w:ascii="David" w:hAnsi="David"/>
          <w:rtl w:val="true"/>
        </w:rPr>
        <w:t>היא אמת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הצדדים ערכו הסדר טיעון במסגרתו כתב האישום </w:t>
      </w:r>
      <w:r>
        <w:rPr>
          <w:rFonts w:ascii="David" w:hAnsi="David"/>
          <w:rtl w:val="true"/>
        </w:rPr>
        <w:t>תוקן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הודה במיוחס לו והורשע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 הגישו הצדדים רשימת עובדות מוסכמת וכן רשימת עובדות שהנאשם יטען אותן והמאשימה לא תביא ראיות לסתור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הוסכם כי המאשימה תטען לעונש של חמישה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עשר חודשי מאסר בפועל וענישה נלווית וב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</w:t>
      </w:r>
      <w:r>
        <w:rPr>
          <w:rFonts w:ascii="David" w:hAnsi="David"/>
          <w:rtl w:val="true"/>
        </w:rPr>
        <w:t>הנאשם יהא חופשי בטיעוניו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תסקיר ש</w:t>
      </w:r>
      <w:r>
        <w:rPr>
          <w:rFonts w:ascii="David" w:hAnsi="David"/>
          <w:rtl w:val="true"/>
        </w:rPr>
        <w:t xml:space="preserve">ירות מבחן מיום </w:t>
      </w:r>
      <w:r>
        <w:rPr>
          <w:rFonts w:cs="David" w:ascii="David" w:hAnsi="David"/>
        </w:rPr>
        <w:t>30.8.20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מלמד כי הנאשם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37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 לארבעה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אינו עובד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שנים מילדיו מאובחנים כחולים וסובלים משיתוק מוחין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מתקשים לתפקד באופן עצמאי ונזקקים לעזרה במטלות היום יומיות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המטפל העיקרי בילדים מאז לידתם ומשקיע את כל מאמציו בגידולם ובטיפול בהם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משפחתו מתקיימת מקצבת הנכות של ילדיו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משפחת מוצאו של הנאשם </w:t>
      </w:r>
      <w:r>
        <w:rPr>
          <w:rFonts w:ascii="David" w:hAnsi="David"/>
          <w:rtl w:val="true"/>
        </w:rPr>
        <w:t xml:space="preserve">אם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ילדים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אביו נפטר לפני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>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תיאר קשר חיובי עם בני משפחתו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הנאשם נשר מלימודים </w:t>
      </w:r>
      <w:r>
        <w:rPr>
          <w:rFonts w:ascii="David" w:hAnsi="David"/>
          <w:rtl w:val="true"/>
        </w:rPr>
        <w:t xml:space="preserve">בגיל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 לעבוד ולסייע בפרנסת 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לנאשם </w:t>
      </w:r>
      <w:r>
        <w:rPr>
          <w:rFonts w:ascii="David" w:hAnsi="David"/>
          <w:rtl w:val="true"/>
        </w:rPr>
        <w:t>שלוש ה</w:t>
      </w:r>
      <w:r>
        <w:rPr>
          <w:rFonts w:ascii="David" w:hAnsi="David"/>
          <w:rtl w:val="true"/>
        </w:rPr>
        <w:t>רשעות קודמות</w:t>
      </w:r>
      <w:r>
        <w:rPr>
          <w:rFonts w:ascii="David" w:hAnsi="David"/>
          <w:rtl w:val="true"/>
        </w:rPr>
        <w:t xml:space="preserve"> בעבירות הפרעה לשוטר בנסיבות מחמירות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החזקת אגרופן ומעשה מגונה בקטין</w:t>
      </w:r>
      <w:r>
        <w:rPr>
          <w:rFonts w:ascii="David" w:hAnsi="David"/>
          <w:rtl w:val="true"/>
        </w:rPr>
        <w:t xml:space="preserve"> והוא</w:t>
      </w:r>
      <w:r>
        <w:rPr>
          <w:rFonts w:ascii="David" w:hAnsi="David"/>
          <w:rtl w:val="true"/>
        </w:rPr>
        <w:t xml:space="preserve"> ריצה בעבר </w:t>
      </w:r>
      <w:r>
        <w:rPr>
          <w:rFonts w:ascii="David" w:hAnsi="David"/>
          <w:rtl w:val="true"/>
        </w:rPr>
        <w:t xml:space="preserve">עונשי </w:t>
      </w:r>
      <w:r>
        <w:rPr>
          <w:rFonts w:ascii="David" w:hAnsi="David"/>
          <w:rtl w:val="true"/>
        </w:rPr>
        <w:t>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יחס</w:t>
      </w:r>
      <w:r>
        <w:rPr>
          <w:rFonts w:ascii="David" w:hAnsi="David"/>
          <w:rtl w:val="true"/>
        </w:rPr>
        <w:t xml:space="preserve"> לעבירה הנוכחית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לקח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אחריות על מעשיו והביע חרטה עליהם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לדעת שירות המבחן הוא </w:t>
      </w:r>
      <w:r>
        <w:rPr>
          <w:rFonts w:ascii="David" w:hAnsi="David"/>
          <w:rtl w:val="true"/>
        </w:rPr>
        <w:t>צמצם מעט בחומרת המעשים והתקשה לבחון באופן מלא את הדפוסים העומדים בבסיס התנהלותו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שירות מבחן</w:t>
      </w:r>
      <w:r>
        <w:rPr>
          <w:rFonts w:ascii="David" w:hAnsi="David"/>
          <w:rtl w:val="true"/>
        </w:rPr>
        <w:t xml:space="preserve"> התרשם </w:t>
      </w:r>
      <w:r>
        <w:rPr>
          <w:rFonts w:ascii="David" w:hAnsi="David"/>
          <w:rtl w:val="true"/>
        </w:rPr>
        <w:t>כי לנאשם מערכת ערכים נורמטיבית בבסיסה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מבטא שאיפות לקיום אורח חיים תקין וחיובי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התרשם שירות המבחן </w:t>
      </w:r>
      <w:r>
        <w:rPr>
          <w:rFonts w:ascii="David" w:hAnsi="David"/>
          <w:rtl w:val="true"/>
        </w:rPr>
        <w:t xml:space="preserve">מהמסירות שמגלה </w:t>
      </w:r>
      <w:r>
        <w:rPr>
          <w:rFonts w:ascii="David" w:hAnsi="David"/>
          <w:rtl w:val="true"/>
        </w:rPr>
        <w:t>הנאשם ל</w:t>
      </w:r>
      <w:r>
        <w:rPr>
          <w:rFonts w:ascii="David" w:hAnsi="David"/>
          <w:rtl w:val="true"/>
        </w:rPr>
        <w:t>טיפול בילדיו וציין כי המחיר האישי ששילם בגין העבירה מהווה טלטלה</w:t>
      </w:r>
      <w:r>
        <w:rPr>
          <w:rFonts w:ascii="David" w:hAnsi="David"/>
          <w:rtl w:val="true"/>
        </w:rPr>
        <w:t xml:space="preserve"> עבורו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מנגד </w:t>
      </w:r>
      <w:r>
        <w:rPr>
          <w:rFonts w:ascii="David" w:hAnsi="David"/>
          <w:rtl w:val="true"/>
        </w:rPr>
        <w:t>צוינו העובדה שהנאשם גדל בנסיבות חיים מורכבות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בהעדר סמכות הורית מיטיבה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שהובילה לכך שהוא חי מתוך תחושת הישרדות כלכלית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 שמצליח לשקול תוצאות מעשיו והשלכותיהן החמורות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התרשם 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rtl w:val="true"/>
        </w:rPr>
        <w:t xml:space="preserve">הטיפול בילדיו מטיל על הנאשם עומס רגשי </w:t>
      </w:r>
      <w:r>
        <w:rPr>
          <w:rFonts w:ascii="David" w:hAnsi="David"/>
          <w:rtl w:val="true"/>
        </w:rPr>
        <w:t>והוא נוטה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כך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לרצות את סביבתו </w:t>
      </w:r>
      <w:r>
        <w:rPr>
          <w:rFonts w:ascii="David" w:hAnsi="David"/>
          <w:rtl w:val="true"/>
        </w:rPr>
        <w:t>ומתקשה</w:t>
      </w:r>
      <w:r>
        <w:rPr>
          <w:rFonts w:ascii="David" w:hAnsi="David"/>
          <w:rtl w:val="true"/>
        </w:rPr>
        <w:t xml:space="preserve"> להציב לעצמו גבולות ולחשוב על המחירים האישיים שעלול לשלם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David" w:hAnsi="David"/>
          <w:rtl w:val="true"/>
        </w:rPr>
        <w:t>צוין כי בשל נסיבותיו המשפחתיות והתפקיד המרכזי שהוא ממלא בטיפול בילדיו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לכניסתו של הנאשם לכלא עשויות להיות השלכות קשות ומשמעותיות עליו ועל בני 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</w:t>
      </w:r>
      <w:r>
        <w:rPr>
          <w:rFonts w:ascii="David" w:hAnsi="David"/>
          <w:rtl w:val="true"/>
        </w:rPr>
        <w:t xml:space="preserve"> הומלץ לגזור על</w:t>
      </w:r>
      <w:r>
        <w:rPr>
          <w:rFonts w:ascii="David" w:hAnsi="David"/>
          <w:rtl w:val="true"/>
        </w:rPr>
        <w:t>יו מאס</w:t>
      </w:r>
      <w:r>
        <w:rPr>
          <w:rFonts w:ascii="David" w:hAnsi="David"/>
          <w:rtl w:val="true"/>
        </w:rPr>
        <w:t>ר בעבודות שירות</w:t>
      </w:r>
      <w:r>
        <w:rPr>
          <w:rFonts w:cs="Times New Roman"/>
          <w:b/>
          <w:bCs/>
          <w:sz w:val="20"/>
          <w:szCs w:val="20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המאשימה ביקשה לקבוע בעניינו של הנאשם מתחם עונש הולם שבין שנים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עשר לשלושים ושישה חודשי מאסר בפועל וביקשה לגזור על הנאשם עונש של חמישה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עשר 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 וקנס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 המאשימה הדגיש בטיעוניו את הערכים המוגנים באמצעות העבירות ואת ההכרח שנקבע בפסיקת בית המשפט העליון להחמיר בענישה בגין עבירות נשק משיקולי הרתעת היחיד והרתעת הרבים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ובשל הסכנה הרבה הגלומה בעבירות מעין אלה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הודגשו העובדה שהנשק הוחזק בבית שבו גרים 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ששניים מהם לפחות מסוגלים להתנייד בעצמם ויכולים היו להגיע אל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הודגש עברו הפלילי של הנאשם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טען לעובדות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שעל פי הסכמת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לא הביאה ראיות לסתור אותן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בכלל זה נטען ש</w:t>
      </w:r>
      <w:r>
        <w:rPr>
          <w:rFonts w:ascii="David" w:hAnsi="David"/>
          <w:rtl w:val="true"/>
        </w:rPr>
        <w:t>הנאשם לא ידע או רצה שהאח יביא לביתו את 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rtl w:val="true"/>
        </w:rPr>
        <w:t>מתוך חשש להסתבך עם המשטרה או עם אחיו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הותיר את האקדח אצלו </w:t>
      </w:r>
      <w:r>
        <w:rPr>
          <w:rFonts w:ascii="David" w:hAnsi="David"/>
          <w:rtl w:val="true"/>
        </w:rPr>
        <w:t xml:space="preserve">וכי </w:t>
      </w:r>
      <w:r>
        <w:rPr>
          <w:rFonts w:ascii="David" w:hAnsi="David"/>
          <w:rtl w:val="true"/>
        </w:rPr>
        <w:t>האקדח נמצא בחדר הילדים הנכים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בארגז מתחת למזרן שעליו שכב ילד נכה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ביקש לגזור על הנאשם עונש של מאסר בעבודות שירות לצד 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שהדגיש כי מדובר באקדח ולא ברובה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הודגשו פרק הזמן הקצר בן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וחצי שעות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שבו החזיק הנאשם באקדח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שיכול היה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לשיטתו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להצטמצם עוד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לו הייתה המשטרה מזדרזת יותר בביצוע החיפוש והעובדה כי עד היום אחיו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חאלד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ובנו של האח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הועמדו לדין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הדגיש עוד את מצבו המשפחתי המורכב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העובדה שהוא מטפל עיקרי בילדיו הנכים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קבלת האחריות המלאה של הנאשם על המעשים ואת האופי המינורי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לשיטתו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 נסיבות ביצוע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לבסוף הדגיש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את שיתוף הפעולה של הנאשם כבר מתחילת חקירת המשטרה והסיוע שהושיט לרשויות החקירה והתביעה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המתבטא בכך שמסר ראיות מפליליות ביחס לאחיו ואחיינו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מטעם ההגנה הוגשו מסמכים רפואיים ומסמכי הביטוח הלאומי בעניינם של הנאשם וילדיו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בדברו האחרון התנצל על מעשיו והביע צער על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הדגיש את האחריות שקיבל על המעשים ואת העובדה שהוא המטפל היחידי של שני ילדיו הנכים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לאחר שמיעת הטיעונים לעונש הוריתי לממונה על עבודות השירות להגיש חוות דעת בעניינו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חוות הדעת שהוגשה ביום </w:t>
      </w:r>
      <w:r>
        <w:rPr>
          <w:rFonts w:cs="David" w:ascii="David" w:hAnsi="David"/>
        </w:rPr>
        <w:t>22.10.20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מלמדת כי  הנאשם כשיר לרצות עונש 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עבירות החזקת נשק והחזקת תחמושת פוגעות בערכים החברתיים שעניינם שמירה על חיי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שמירה על שלום הציבור ובטחונו ועל הסדר הציבורי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נפוצות</w:t>
      </w:r>
      <w:r>
        <w:rPr>
          <w:rtl w:val="true"/>
        </w:rPr>
        <w:t xml:space="preserve">.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להשיגם</w:t>
      </w:r>
      <w:r>
        <w:rPr>
          <w:rtl w:val="true"/>
        </w:rPr>
        <w:t xml:space="preserve">, </w:t>
      </w:r>
      <w:r>
        <w:rPr>
          <w:rtl w:val="true"/>
        </w:rPr>
        <w:t>והחומרה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מתרחשות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8416/09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חרבוש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Fonts w:cs="Times New Roman"/>
          <w:rtl w:val="true"/>
        </w:rPr>
        <w:t xml:space="preserve"> </w:t>
      </w:r>
      <w:r>
        <w:rPr/>
        <w:t>9.6.10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לא יזם את ביצוע העבירות אלא שהן נכפו עליו בשל מעשיו של אחיו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שהביא את הנשק והתחמושת לביתו בשעה שהנאשם לא שהה במקום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חטאו המרכזי של הנאשם הוא במחדל ולא במעשה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בכך שהמשיך להחזיק בנשק ובתחמושת בתוך בית מגורים שבו גרים גם ארבעה 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 שהודיע על כך למשטרה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הניסיון להיפטר מהנשק באמצעות האח אין בו כדי להוות נסיבה מקלה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משמעותו של מעשה זה היא החזרת הנשק לידיו של אדם שממנו נשקפת סכנה לשימוש בנשק למטרות בלתי חוקיות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rtl w:val="true"/>
        </w:rPr>
        <w:t>הנשק שבו החזיק הנאשם הוא דמוי תת מקלע מאולתר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מאפיין מרכזי של סוג זה של נשק הוא יכולתו לירות במצב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אוטומט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גם העובדה שמדובר בנשק שהיה טעון בעת החזקתו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וגם העובדה כי מדובר בנשק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הגבירו את הסכנה להתרחשות תאונה כתוצאה מאחזקתו של הנשק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עם זאת שקלתי את טענת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שהמאשימה לא הביאה ראיות לסתור אותה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ולפיה הנשק הוחזק בארגז המיטה של בנו הנכה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מתחת למזרון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לטענה זו שני פנים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מצד אחד קשיי התנועה של בנו של הנאשם אמנם הקשו על אחרים להגיע את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מצד 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העובדה שהנשק הטעון הוחזק בחדר הילדים סיכנה אותם במיוחד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הם היו הקורבנות הפוטנציאליים המיידים במקרה של פליטת כדור מתוך הנשק המאולתר והטעון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שעשויה הייתה להתרחש לאו דווקא בשל משחק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גם במקרה של טלטולו או טלטול המיטה שבתוכה הוחזק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החזיק בנשק פרק זמן קצר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מעט יותר מיממה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וקטיעת ההחזקה לא הייתה תלויה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אירעה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למזלם הרב של הנאשם והציבור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בעקבות חיפוש שערכה המשטרה בבית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למרבה המזל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הנשק מצא את דרכו אל הרשויות ולא הוחזר לידי הגורמים העברייניים שאליהם ביקש הנאשם להחזירו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בשנים האחרונות עבירות בנשק הפכו לתופעה נפוצה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הצורך בהרתעת הרבים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מנת למגר תופעה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ניכרת בשנים האחרונות החמרה בענישה בגין עבירות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לעניין זה יפים דברי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י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אלרון ב</w:t>
      </w:r>
      <w:hyperlink r:id="rId6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5613/20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אלהוזייל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פורסם בנבו </w:t>
      </w:r>
      <w:r>
        <w:rPr>
          <w:rFonts w:cs="David" w:ascii="David" w:hAnsi="David"/>
        </w:rPr>
        <w:t>25.08.20</w:t>
      </w:r>
      <w:r>
        <w:rPr>
          <w:rFonts w:cs="David" w:ascii="David" w:hAnsi="David"/>
          <w:rtl w:val="true"/>
        </w:rPr>
        <w:t>):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ListParagraph"/>
        <w:spacing w:lineRule="auto" w:line="360"/>
        <w:ind w:start="1984" w:end="1418"/>
        <w:jc w:val="both"/>
        <w:rPr/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עבירות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בנשק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הפכו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בשנים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האחרונות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למרבה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הצער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לתופעה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נפוצה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בקרב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אוכלוסיות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שונות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בחברה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הישראלית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המביאה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לעתים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מזומנות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לפגיעה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בחפים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מפשע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ולאובדן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חיי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אדם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כתוצאה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משפט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שב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וקבע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מתחייבת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החמרה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ממשית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בענישה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עבירות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לשדר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מרתיע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מפני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ביצוען</w:t>
      </w:r>
      <w:r>
        <w:rPr>
          <w:rFonts w:cs="David" w:ascii="David" w:hAnsi="David"/>
          <w:b/>
          <w:bCs/>
          <w:rtl w:val="true"/>
        </w:rPr>
        <w:t>."</w:t>
      </w:r>
      <w:r>
        <w:rPr>
          <w:rFonts w:cs="David" w:ascii="David" w:hAnsi="David"/>
          <w:b/>
          <w:bCs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עיון בפסיקה מלמד כי בנסיבות דומות או קרובות של החזקת נשק 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נגזרו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ככלל עונשי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מאסר בעבודות שירות לתקופה המרבית האפשרית או קרוב אליה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ראו למשל 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5613/20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אלהוזייל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25.8.20</w:t>
      </w:r>
      <w:r>
        <w:rPr>
          <w:rFonts w:cs="David" w:ascii="David" w:hAnsi="David"/>
          <w:rtl w:val="true"/>
        </w:rPr>
        <w:t>)</w:t>
      </w:r>
      <w:r>
        <w:rPr>
          <w:rFonts w:cs="Times New Roman"/>
          <w:sz w:val="22"/>
          <w:szCs w:val="22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2281/15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חדיג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פורסם בנבו </w:t>
      </w:r>
      <w:r>
        <w:rPr>
          <w:rFonts w:cs="David" w:ascii="David" w:hAnsi="David"/>
        </w:rPr>
        <w:t>27.4.15</w:t>
      </w:r>
      <w:r>
        <w:rPr>
          <w:rFonts w:cs="David" w:ascii="David" w:hAnsi="David"/>
          <w:rtl w:val="true"/>
        </w:rPr>
        <w:t xml:space="preserve">); 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8730/18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מרשה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פורסם בנבו </w:t>
      </w:r>
      <w:r>
        <w:rPr>
          <w:rFonts w:cs="David" w:ascii="David" w:hAnsi="David"/>
        </w:rPr>
        <w:t>24.1.19</w:t>
      </w:r>
      <w:r>
        <w:rPr>
          <w:rFonts w:cs="David" w:ascii="David" w:hAnsi="David"/>
          <w:rtl w:val="true"/>
        </w:rPr>
        <w:t>);</w:t>
      </w:r>
      <w:r>
        <w:rPr>
          <w:rFonts w:cs="Arial" w:ascii="Arial" w:hAnsi="Arial"/>
          <w:sz w:val="22"/>
          <w:szCs w:val="22"/>
          <w:rtl w:val="true"/>
        </w:rPr>
        <w:t xml:space="preserve"> 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23517-02-20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זיד אלכילאני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28.7.20</w:t>
      </w:r>
      <w:r>
        <w:rPr>
          <w:rFonts w:cs="David" w:ascii="David" w:hAnsi="David"/>
          <w:rtl w:val="true"/>
        </w:rPr>
        <w:t>)</w:t>
      </w:r>
      <w:r>
        <w:rPr>
          <w:rFonts w:cs="Arial" w:ascii="Arial" w:hAnsi="Arial"/>
          <w:color w:val="000000"/>
          <w:rtl w:val="true"/>
        </w:rPr>
        <w:t>;</w:t>
      </w:r>
      <w:r>
        <w:rPr>
          <w:rFonts w:cs="Arial" w:ascii="Arial" w:hAnsi="Arial"/>
          <w:color w:val="000000"/>
          <w:rtl w:val="true"/>
        </w:rPr>
        <w:t xml:space="preserve"> 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52602-12-19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ריזק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27.1.20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;  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43957-03-19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ascii="David" w:hAnsi="David"/>
          <w:b/>
          <w:b/>
          <w:bCs/>
          <w:rtl w:val="true"/>
        </w:rPr>
        <w:t>חנ</w:t>
      </w:r>
      <w:r>
        <w:rPr>
          <w:rFonts w:ascii="David" w:hAnsi="David"/>
          <w:b/>
          <w:b/>
          <w:bCs/>
          <w:rtl w:val="true"/>
        </w:rPr>
        <w:t>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פורסם בנבו </w:t>
      </w:r>
      <w:r>
        <w:rPr>
          <w:rFonts w:cs="David" w:ascii="David" w:hAnsi="David"/>
        </w:rPr>
        <w:t>11.04.19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; 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18833-05-13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אמל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Fonts w:cs="Times New Roman"/>
          <w:rtl w:val="true"/>
        </w:rPr>
        <w:t xml:space="preserve"> </w:t>
      </w:r>
      <w:r>
        <w:rPr/>
        <w:t>29.9.14</w:t>
      </w:r>
      <w:r>
        <w:rPr>
          <w:rtl w:val="true"/>
        </w:rPr>
        <w:t xml:space="preserve">) </w:t>
      </w:r>
      <w:r>
        <w:rPr>
          <w:rtl w:val="true"/>
        </w:rPr>
        <w:t>והפסיקה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; 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21813-09-16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טאהה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Fonts w:cs="Times New Roman"/>
          <w:rtl w:val="true"/>
        </w:rPr>
        <w:t xml:space="preserve"> </w:t>
      </w:r>
      <w:r>
        <w:rPr/>
        <w:t>3.6.19</w:t>
      </w:r>
      <w:r>
        <w:rPr>
          <w:rtl w:val="true"/>
        </w:rPr>
        <w:t xml:space="preserve">) </w:t>
      </w:r>
      <w:r>
        <w:rPr>
          <w:rtl w:val="true"/>
        </w:rPr>
        <w:t>והפסיקה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לנוכח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ובפרט לנוכח העובדה כי היסוד ההתנהגותי בעבירה שעבר הנאשם הוא במחדל ולא במעשה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קובעת כי מתחם העונש ההולם את מעשיו של הנאשם הוא בין שמונה חודשי מאסר בעבודות שירות לעשרים 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מאסר מותנה וקנס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העונש המתאים לנאשם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שקלתי לזכות הנאשם את הודאתו בעובדות כתב האישום המתוקן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תיאר אמנם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צמצם בהתייחסותו לעבירות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ואולם בחינת הדברים מלמדת כי בפני שירות המבחן </w:t>
      </w:r>
      <w:r>
        <w:rPr>
          <w:rFonts w:ascii="David" w:hAnsi="David"/>
          <w:rtl w:val="true"/>
        </w:rPr>
        <w:t xml:space="preserve">תיאר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את העובדות המוסכמות על הצדדים וביטא צער על שלא גילה אסרטיביות ודיווח למשטרה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כן ניתן לקבוע כי הוא מקבל אחריות על המעשים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קבלת אחריות על המעשים יש בה כדי ללמד על הבנת הפסול שבהם ולצמצם את הסיכון כי הם יחזרו על עצמם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b/>
          <w:bCs/>
          <w:u w:val="single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בן </w:t>
      </w:r>
      <w:r>
        <w:rPr>
          <w:rFonts w:cs="David" w:ascii="David" w:hAnsi="David"/>
        </w:rPr>
        <w:t>37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ובעברו שלוש הרשעות קודמות בעבירות 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רכוש והפרת הסדר הציבורי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ריצה בעבר עונשי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עברו הפלילי של הנאשם מכביד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 בו כדי להטיל ספק בהתרשמות שירות המבחן כי לנאשם מערכת ערכים נורמטיבית בבסיסה והוא שואף לקיים אורח חיים תקין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 נתתי דעתי לעובדה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הרשעתו האחרונה של הנאשם היא בגין עבירות שביצע בשנת </w:t>
      </w:r>
      <w:r>
        <w:rPr>
          <w:rFonts w:cs="David" w:ascii="David" w:hAnsi="David"/>
        </w:rPr>
        <w:t>2016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עובדה המלמדת על התמתנות מסוימת בהתנהלותו הפלילית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מצבו המשפחתי של הנאשם מורכב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ונראה כי העובדה שהוא משמש מטפל עיקרי לשני ילדיו הנכים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עובדה העולה לא רק מתוך טענות ההגנה אלא גם מתוך מסמכי הביטוח הלאומי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ומסירותו הרבה אליהם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מהווים גורם ממתן בהתנהלותו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ובהיבט זה מפחיתים גם הם את הסיכון להישנות העבירות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נסיבה נוספת המצדיקה הקלה עם הנאשם היא כי עד 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בחלוף תשעה חודשים ממועד האירועים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טרם הוגש כתב אישום נגד חאלד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ומוחמד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 של האח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מדובר באכיפה בלתי שוויונית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המובילה לכך שהמעורב המרכזי בעבירה לכאורה טרם נתן את הדין על מעשיו ולא ברור אם ומתי יועמד לדין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 שהנאשם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שהמעורב המרכזי הוא שהוביל אותו לביצוע העבירה נעצר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שהה במעצר ולאחר מכן בתנאים מגבילים ונותן כעת את הדין על ביצוע העבירה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אי שוויון זה מחייב הקלה עם הנאשם שתבוא לביטוי בתוך מתחם העונש ההולם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שהה במעצר של ממש מיום </w:t>
      </w:r>
      <w:r>
        <w:rPr>
          <w:rFonts w:cs="David" w:ascii="David" w:hAnsi="David"/>
        </w:rPr>
        <w:t>17.12.19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יום </w:t>
      </w:r>
      <w:r>
        <w:rPr>
          <w:rFonts w:cs="David" w:ascii="David" w:hAnsi="David"/>
        </w:rPr>
        <w:t>10.2.20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ולאחר מכן שהה במעצר בפיקוח אלקטרוני בהרחקה מביתו במשך שלושה חודשים נוספים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בכך יש כדי להוות ענישה מסוימת עבורו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מכלול הנסיבות שאינן קשורות לביצוע העבירה הצדיק לגזור על הנאשם עונש המצוי סמוך לאמצע מתחם העונש ההולם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אלמלא שהה הנאשם במעצר פרק זמן 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מן הראוי היה לגזור עליו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עברו 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עונש של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לתקופת המאסר שהיה עליו לרצות לו היה נגזר עונשו למאסר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בניכוי ימי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ראיתי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נסיבותיו המשפחתיות ויתר הנסיבות המקלות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להחזירו למאסר מאחורי סורג 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לגזור עליו תקופה זו של מאסר שתרוצה בעבודות שירות ללא שינוכו ממנה ימי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ולצדה מאסר מותנה וקנס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14.1.21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8:00</w:t>
      </w:r>
      <w:r>
        <w:rPr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1.1.21</w:t>
      </w:r>
      <w:r>
        <w:rPr>
          <w:rtl w:val="true"/>
        </w:rPr>
        <w:t xml:space="preserve"> </w:t>
      </w:r>
      <w:r>
        <w:rPr>
          <w:rtl w:val="true"/>
        </w:rPr>
        <w:t>והבאים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עוקב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</w:t>
      </w:r>
      <w:r>
        <w:rPr>
          <w:rtl w:val="true"/>
        </w:rPr>
        <w:t xml:space="preserve">,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ind w:hanging="360" w:start="720" w:end="0"/>
        <w:jc w:val="start"/>
        <w:rPr/>
      </w:pP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ind w:hanging="360" w:start="720"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0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חשוון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ג</w:t>
      </w:r>
      <w:r>
        <w:rPr>
          <w:rFonts w:cs="David" w:ascii="David" w:hAnsi="David"/>
          <w:color w:val="000000"/>
          <w:sz w:val="22"/>
          <w:szCs w:val="22"/>
          <w:rtl w:val="true"/>
        </w:rPr>
        <w:t>'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ויה סקפה שפירא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8"/>
      <w:footerReference w:type="default" r:id="rId1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65378-12-19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סלאחאת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30889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case/5969313" TargetMode="External"/><Relationship Id="rId6" Type="http://schemas.openxmlformats.org/officeDocument/2006/relationships/hyperlink" Target="http://www.nevo.co.il/case/26913995" TargetMode="External"/><Relationship Id="rId7" Type="http://schemas.openxmlformats.org/officeDocument/2006/relationships/hyperlink" Target="http://www.nevo.co.il/case/26913995" TargetMode="External"/><Relationship Id="rId8" Type="http://schemas.openxmlformats.org/officeDocument/2006/relationships/hyperlink" Target="http://www.nevo.co.il/case/20151405" TargetMode="External"/><Relationship Id="rId9" Type="http://schemas.openxmlformats.org/officeDocument/2006/relationships/hyperlink" Target="http://www.nevo.co.il/case/25217995" TargetMode="External"/><Relationship Id="rId10" Type="http://schemas.openxmlformats.org/officeDocument/2006/relationships/hyperlink" Target="http://www.nevo.co.il/case/26442335" TargetMode="External"/><Relationship Id="rId11" Type="http://schemas.openxmlformats.org/officeDocument/2006/relationships/hyperlink" Target="http://www.nevo.co.il/case/26294158" TargetMode="External"/><Relationship Id="rId12" Type="http://schemas.openxmlformats.org/officeDocument/2006/relationships/hyperlink" Target="http://www.nevo.co.il/case/25551440" TargetMode="External"/><Relationship Id="rId13" Type="http://schemas.openxmlformats.org/officeDocument/2006/relationships/hyperlink" Target="http://www.nevo.co.il/case/7004963" TargetMode="External"/><Relationship Id="rId14" Type="http://schemas.openxmlformats.org/officeDocument/2006/relationships/hyperlink" Target="http://www.nevo.co.il/case/21524806" TargetMode="External"/><Relationship Id="rId15" Type="http://schemas.openxmlformats.org/officeDocument/2006/relationships/hyperlink" Target="http://www.nevo.co.il/law/70301/144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advertisements/nevo-100.doc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2022-07-11T10:59:00Z</dcterms:created>
  <dc:creator> </dc:creator>
  <dc:description/>
  <cp:keywords/>
  <dc:language>en-IL</dc:language>
  <cp:lastModifiedBy>h1</cp:lastModifiedBy>
  <dcterms:modified xsi:type="dcterms:W3CDTF">2022-07-11T10:59:00Z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סלאחאת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26308896;5969313;26913995:2;20151405;25217995;26442335;26294158;25551440;7004963;21524806</vt:lpwstr>
  </property>
  <property fmtid="{D5CDD505-2E9C-101B-9397-08002B2CF9AE}" pid="9" name="CITY">
    <vt:lpwstr>י-ם</vt:lpwstr>
  </property>
  <property fmtid="{D5CDD505-2E9C-101B-9397-08002B2CF9AE}" pid="10" name="DATE">
    <vt:lpwstr>20201101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ג'ויה סקפה שפירא</vt:lpwstr>
  </property>
  <property fmtid="{D5CDD505-2E9C-101B-9397-08002B2CF9AE}" pid="14" name="LAWLISTTMP1">
    <vt:lpwstr>70301/144</vt:lpwstr>
  </property>
  <property fmtid="{D5CDD505-2E9C-101B-9397-08002B2CF9AE}" pid="15" name="LAWYER">
    <vt:lpwstr>אילן אקוקה;יהודה שושן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65378</vt:lpwstr>
  </property>
  <property fmtid="{D5CDD505-2E9C-101B-9397-08002B2CF9AE}" pid="22" name="NEWPARTB">
    <vt:lpwstr>12</vt:lpwstr>
  </property>
  <property fmtid="{D5CDD505-2E9C-101B-9397-08002B2CF9AE}" pid="23" name="NEWPARTC">
    <vt:lpwstr>19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380020201101</vt:lpwstr>
  </property>
  <property fmtid="{D5CDD505-2E9C-101B-9397-08002B2CF9AE}" pid="34" name="TYPE_N_DATE">
    <vt:lpwstr>38020201101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