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65412-06-23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אזרזר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איאד מחאמיד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בויארת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על פי הודאתו בעבירות המיוחסות לו בכתב האישום בהחזקת חלק אבזר או תחמושת שאינם חלק מהותי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למפורט בכתב האישום בתאריך </w:t>
      </w:r>
      <w:r>
        <w:rPr>
          <w:rFonts w:cs="Arial" w:ascii="Arial" w:hAnsi="Arial"/>
        </w:rPr>
        <w:t>25/6/23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09:10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חיפוש שנערך כדין בביתו של הנאשם שבאום אל פאחם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מתחת לגרם מדרגות פנימי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ברוס שהכיל קופסאות של תחמושת עטופות בניילון נצמד ועוד מספר קופסאות כמפורט לעיל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צייד בצבע שחור בתפזורת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בתפזורת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תחמושת מסוגים שונים בתפזורת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בתפזורת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קופסאות של כדורי תחמושת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כשכל קופסא מכילה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270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קופסאות של 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כשכל קופסא מכילה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של הנאשם כמתואר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בתחמושת בלא רשות על פי דין להחזקתו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21.09.23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הודה והורשע ובא כוחו ביקש הפנייתו לקבלת חוות דעת מאת הממונה על עבודות השירות שתבחן את שאלת כשירות הנאשם לבצע עבודות שירות ככל שכך יוחלט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01.11.23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התקבלה חוות הדעת לפיה הנאשם נמצא כשיר לבצע עבודות שירות במגבלות בעיריית עפולה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על חומרת מעשיו של הנאשם ועל הערכים החברתיים שנפגעו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שלום הציבור ובטחונו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הדגיש שהפגיעה בערכים אלה קיימת למרות שהנאשם לא החזיק בנשק אלא רק בתחמושת מאחר והנאשם החזיק כמות גדולה מאוד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601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ומגוונת של כדורים המעידים על כוונה להפצה או לשימוש עברייני מסיבי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הדגיש שמיגור הנגע של החזקת נשק בלתי חוקי והשימוש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במגזר הערבי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הפך למטרת על בקרב גורמי אכיפת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ובתי המשפט ראו בעבירות הנשק כעבירות שיש להחמיר עם מבצעיהם על ידי הטלת מאסרים ממושכים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בקביעת מתחם העונש ההולם את 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על מדיניות הענישה הנהוגה בעבירות דומות והפנה לפסיקה רלוונטית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סבר שמתחם העונש ההולם את מעשיו של הנאשם נע בין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וביקש בהתחשב בנסיבות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בעיקר העדר עבר 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לגזור על הנאשם מאסר בפועל למשך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וכן מאסר על תנאי משמעותי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הסנגור הפנה לפסקי דין מטעמו בהם ביקשה המאשימה לקבוע מתחם ענישה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תוך שסבר שמתחם העונש ההולם את מעשיו של הנאשם מתחיל ממספר מועט של 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שניתן לשאת בעבודות שירות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בקביעת עונשו של הנאשם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הסנגור על הנסיבות שאינן קשורות בביצוע העבירה וביקש להתחשב בהודאת הנאשם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בהיותו של הנאשם אב לשני ילדים שאחד מהם חולה ונזקק לנסוע פעמיים בשבוע לבית החולים על מנת לקבל עירוי דם מהנאשם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בא כוח הנאשם למקם את הנאשם בתחתית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בדבריו ציין שעשה טעות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יחזור עליה ושהוא לא עבריין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אמר שיש לו ילד נכה הזקוק לו בזמן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לכשייקבע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5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David" w:cs="Miriam"/>
        </w:rPr>
      </w:pPr>
      <w:r>
        <w:rPr>
          <w:rFonts w:ascii="David" w:hAnsi="David" w:eastAsia="David"/>
          <w:u w:val="single"/>
          <w:rtl w:val="true"/>
        </w:rPr>
        <w:t>קביעת מתחם העונש ההולם – נסיבות הקשורות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David" w:hAnsi="David" w:eastAsia="David"/>
          <w:rtl w:val="true"/>
        </w:rPr>
        <w:t>אין צורך להכביר מילים בדבר חומרת מעשיו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החברתיים שנפגעו ומידת הפגיעה בהם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במעשיו פגע בערכים חברתיים של שלום הציבור ובטחונו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חיי אדם ועל הסדר הציבורי</w:t>
      </w:r>
      <w:r>
        <w:rPr>
          <w:rFonts w:ascii="Arial" w:hAnsi="Arial" w:eastAsia="David" w:cs="Arial"/>
          <w:rtl w:val="true"/>
        </w:rPr>
        <w:t xml:space="preserve"> הואיל ותחמושת המוחזקת שלא כדין עלולה לשמש לירי המבוצע על ידי עבריינים ולהביא לפגיעה בשלטון החוק ובנושאי שלטון החוק המבצעים את תפקידם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מאוד בעבירה של החזקת נשק שלא כדין נוכח התופעה החמורה והמסוכנת של החזקת נשק בידיים שאינן מורשות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יש בה כדי להוביל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מובילה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למקרים חמורים של שימוש מסוכן בנשק משום שהנשק מגיע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משום שהנשק מגיע לידי מי שמנסים לפגוע בביטחונם ובשלומם של תושבי המדינה או משום תאונות שנגרמות כתוצאה מהשימוש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472</w:t>
      </w:r>
      <w:r>
        <w:rPr>
          <w:rFonts w:cs="David" w:ascii="David" w:hAnsi="David"/>
          <w:b/>
          <w:bCs/>
          <w:rtl w:val="true"/>
        </w:rPr>
        <w:t>;"</w:t>
      </w:r>
      <w:r>
        <w:rPr>
          <w:rFonts w:cs="David" w:ascii="David" w:hAnsi="David"/>
          <w:rtl w:val="true"/>
        </w:rPr>
        <w:t xml:space="preserve"> 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הורשע בהחזקת נשק כי אם בהחזקת תחמושת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תחמושת הינה עבירה חמורה מאוד אך פחותה בחומרתה מהחזקת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בהיותה עבירת עוון ולא עבירת פשע ובהתאם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הקבוע בצידה נמוך יותר והיא איננה נכללת בתיקון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/>
          <w:rtl w:val="true"/>
        </w:rPr>
        <w:t>סקירת מדיניות הענישה הנהוגה בעבירת החזקת תחמושת מלמדת שלרוב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המאשימה ביקשה קביעת מתחם ענישה נמוך יותר מהמתחם אותו ביקשה 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אפילו במקרים חמורים יותר והן בתי המשפט קבעו מתחם המתחיל ממספר חודשי מאסר שניתן לשאת בעבודות שירות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הצדדים הפנו לפסיקת בתי משפט השלום שכידוע איננה מחייבת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להתייחס אליה בהיותה הנפוצה ביותר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18273-01-19</w:t>
        </w:r>
      </w:hyperlink>
      <w:r>
        <w:rPr>
          <w:rFonts w:cs="David" w:ascii="David" w:hAnsi="David"/>
          <w:rtl w:val="true"/>
        </w:rPr>
        <w:t xml:space="preserve">,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47044-02-20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67410-12-21</w:t>
        </w:r>
      </w:hyperlink>
      <w:r>
        <w:rPr>
          <w:rFonts w:cs="David" w:ascii="David" w:hAnsi="David"/>
          <w:rtl w:val="true"/>
        </w:rPr>
        <w:t>).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בענייננו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הנאשם החזיק בכמות רבה מאוד של תחמושת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600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באופן המעיד על השימוש שיעשה בה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ההגנה לא הסבירה מדוע הנאשם החזיק בתחמושת שלא כדין בכלל וכמות כה רבה בפרט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בנסיבות אלה ובהתחשב במגמת ההחמרה ההדרגתית של בית המשפט העליון בעבירות נשק למיניהן מצאתי שמתחם העונש ההולם בעניינו של הנאשם נע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שניתן לבצע בעבודות שירות  לבין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Miriam" w:hAnsi="Miriam" w:eastAsia="David" w:cs="Miriam"/>
          <w:b/>
          <w:bCs/>
          <w:sz w:val="22"/>
          <w:szCs w:val="22"/>
        </w:rPr>
      </w:pPr>
      <w:r>
        <w:rPr>
          <w:rFonts w:eastAsia="David" w:cs="Miriam" w:ascii="Miriam" w:hAnsi="Miriam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העונש ההולם – נסיבות שאינן 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כבן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 לשני ילדים קטנים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מהם אחד נכה ונזקק לשירותיו של הנאשם פעמיים בשבוע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לחובת הנאשם הרשעה אחת בעבירות איכות הסביבה שהתיישנה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כך שלמעשה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נעדר עבר פלילי ויש לזקוף זאת לזכותו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לקח אחריות על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הודה בהזדמנות הראשונה וחסך זמן שיפוטי יקר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בעת קביעת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אשר ביקש להבנות את שיקול הדעת השיפוטי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לקחת בחשבון ולבדוק האם במקרה הקונקרטי הטלת מאסר בפועל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מדובר בתקופה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יהיה בה כדי לקבוע שהנזק עולה על התועלת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הוועדה הציבורית לבחינת מדיניות הענישה והטיפול בעבריינים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ועדת דורנר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התייחס לעניין זה ומסקנתו מצדיקה בחינה מחודשת של שיקולי 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מעולם לא נשא בעונש מאסר בפועל ושליחתו בעת הזאת למאסר מאחורי סורג ובריח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חשיפתו לגורמים עבריינים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תשפיע ודאי עליו ועל בני משפחתו באופן שאיננו עולה בקנה אחד עם האינטרס הציבורי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מנגד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נשיאת עונש המאסר בעבודות שירות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כאשר מתחם הענישה שקבעתי מאפשר זאת ובהתאם לעמדת המאשימה למקם את הנאשם בתחתית 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סבורני שיש בה כדי למלא את תכלית ההרתעה ואינטרס הציבור מחד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ואת הנסיבות שאינן קשורות לביצוע העבירה מאידך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עובדות אלה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מצאתי למקם את הנאשם בתחתית מתחם הענישה שקבעתי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>משנאמר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בערך החברתי ובמדיניות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בהודאתו של הנאשם ובנסיבות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עריכת איזון בין רכיבי הענישה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אשר יבוצע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בעיריית עפולה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יתייצב לתחילת ביצוע עבודות השירות בתאריך </w:t>
      </w:r>
      <w:r>
        <w:rPr>
          <w:rFonts w:cs="David" w:ascii="David" w:hAnsi="David"/>
        </w:rPr>
        <w:t>10.03.24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במשרדי יחידת ברקאי – עבודות שירות – שלוחת צפון – סמוך לבית סוהר מגידו וזאת לצורך קליטתו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מאסר על תנאי לתקופה </w:t>
      </w:r>
      <w:r>
        <w:rPr>
          <w:rFonts w:ascii="David" w:hAnsi="David" w:eastAsia="David"/>
          <w:rtl w:val="true"/>
        </w:rPr>
        <w:t xml:space="preserve">של 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למשך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שלא יעבור בפרק זמן זה  על העבירה בה הורשע בהליך זה שבפני או כל עבירת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ימים מרגע מתן גזר הדין ועד ליום </w:t>
      </w:r>
      <w:r>
        <w:rPr>
          <w:rFonts w:cs="David" w:ascii="David" w:hAnsi="David"/>
        </w:rPr>
        <w:t>20/5/24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>בכרטיס אשראי</w:t>
      </w:r>
      <w:r>
        <w:rPr>
          <w:rFonts w:ascii="David" w:hAnsi="David" w:cs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3">
        <w:r>
          <w:rPr>
            <w:rStyle w:val="Hyperlink"/>
            <w:rFonts w:cs="Arial" w:ascii="Arial" w:hAnsi="Arial"/>
          </w:rPr>
          <w:t>www.eca.gov.il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Arial" w:hAnsi="Arial" w:cs="Arial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 w:cs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 w:cs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 w:cs="David"/>
          <w:b/>
          <w:b/>
          <w:bCs/>
          <w:rtl w:val="true"/>
        </w:rPr>
        <w:t>ניתן לפנות לנציגים לקבלת מידע במספרים הללו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במזומן בכל סניף של בנק הדואר</w:t>
      </w:r>
      <w:r>
        <w:rPr>
          <w:rFonts w:ascii="David" w:hAnsi="David" w:cs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Calibri" w:hAnsi="Calibri" w:cs="Arial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65412-06-23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d" TargetMode="External"/><Relationship Id="rId15" Type="http://schemas.openxmlformats.org/officeDocument/2006/relationships/hyperlink" Target="http://www.nevo.co.il/law/70301/40e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5300128" TargetMode="External"/><Relationship Id="rId20" Type="http://schemas.openxmlformats.org/officeDocument/2006/relationships/hyperlink" Target="http://www.nevo.co.il/case/26472962" TargetMode="External"/><Relationship Id="rId21" Type="http://schemas.openxmlformats.org/officeDocument/2006/relationships/hyperlink" Target="http://www.nevo.co.il/case/2821172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eca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2024-11-07T12:46:00Z</dcterms:created>
  <dc:creator> </dc:creator>
  <dc:description/>
  <cp:keywords/>
  <dc:language>en-IL</dc:language>
  <cp:lastModifiedBy>h1</cp:lastModifiedBy>
  <dcterms:modified xsi:type="dcterms:W3CDTF">2024-11-07T12:46:00Z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28513828;25300128;26472962;28211721</vt:lpwstr>
  </property>
  <property fmtid="{D5CDD505-2E9C-101B-9397-08002B2CF9AE}" pid="9" name="CITY">
    <vt:lpwstr>חד'</vt:lpwstr>
  </property>
  <property fmtid="{D5CDD505-2E9C-101B-9397-08002B2CF9AE}" pid="10" name="DATE">
    <vt:lpwstr>20240205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אלכס אחטר</vt:lpwstr>
  </property>
  <property fmtid="{D5CDD505-2E9C-101B-9397-08002B2CF9AE}" pid="14" name="LAWLISTTMP1">
    <vt:lpwstr>70301/144.a;040i;40ja;040d;040e</vt:lpwstr>
  </property>
  <property fmtid="{D5CDD505-2E9C-101B-9397-08002B2CF9AE}" pid="15" name="LAWYER">
    <vt:lpwstr>מידד אזרזר;עאדל בויארת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65412</vt:lpwstr>
  </property>
  <property fmtid="{D5CDD505-2E9C-101B-9397-08002B2CF9AE}" pid="22" name="NEWPARTB">
    <vt:lpwstr>06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380020240205</vt:lpwstr>
  </property>
  <property fmtid="{D5CDD505-2E9C-101B-9397-08002B2CF9AE}" pid="34" name="TYPE_N_DATE">
    <vt:lpwstr>38020240205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