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65646-12-23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בוהדנה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ל</w:t>
            </w:r>
            <w:r>
              <w:rPr>
                <w:rFonts w:ascii="David" w:hAnsi="David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ארנון איתן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באמצעות פרקליטות מחוז ירושלים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ישראל ידידיה בוהדנה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שלום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 אישום מתוקן המייחס לו עבירות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רישא בנסיבות סעיף ג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והחזקת אביזר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סיפא בנסיבות סעיף ג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בין הצדדים לא הייתה הסכמה לעניין העונש אך המאשימה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תעתור להטלת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בצירוף רכיבי ענישה של מאסר מותנה וקנס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הסניגור יהיה חופשי בטיעוניו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בתקופה הרלוונטית לכתב האישום התגורר הנאשם יחד עם בת זוגתו וילדיהם ביחידת דיור בתוך מתחם השייך לדודה של בת זוגתו ברחוב קריית יערים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גבעת זאב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במתחם יש פרגולה הסמוכה ליחידת הדיור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11.12.2023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תקופה שאורכה 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ביחידת הדיור ומעל הפרגולה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אקדח הזנקה חצי אוטומטי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קליבר תוצרת טורקיה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יורה ובכוחו להמית יחד עם מחסנית תואמת ובה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מסוג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מעל הפרגולה שקית שקופה ובתוכה כמאה כדורים מסוג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קופסת קרטון בתוכה נמצאו 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מכשיר פס מגנטי קורא כרטיסי אשראי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ספחי תעודות זהות ומכשיר סלולר בצבע שחור מסוג סמסונג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מטעם המאשימה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רישום פלילי של הנאשם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מטעם ההגנה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חוות דעת של מומחה בעניין הנשק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סומן 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תמצית טיעוני הצדדים לעונש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בטיעוניה לעונש הפנתה המאשימה לעובדות המפורטות בכתב האישום וכן הערכים המוגנים בהם פגע הנאשם במעשיו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הדגישה בטיעוניה את פוטנציאל הנזק והסיכון שיכול היה להיגרם משימוש שייעשה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בנסיבות בהן הנשק היה טעון בשלושה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נתון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 על כך שהנשק היה זמין לשימוש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לצדו כמות גדולה של תחמושת שאינה תואמת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הענישה בנסיבות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 את החזקת הנשק והתחמושת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ובהתאם להנחיות פרקליט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הינו מאסר למשך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עצור מיום </w:t>
      </w:r>
      <w:r>
        <w:rPr>
          <w:rFonts w:cs="Arial" w:ascii="Arial" w:hAnsi="Arial"/>
        </w:rPr>
        <w:t>11.12.2023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וחסך זמן שיפוטי 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 בגילו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מנגד לחובתו רישום פלילי לרבות ריצוי מאסר בעברו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המאשימה לקבוע את עונשו של הנאשם בשליש התחתון של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ולהטיל עליו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הסתייג מטעון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הנשק לא היה טעון ולא זמין לשימוש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כך על פי העובדות בהן הודה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הוסיף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בהתאם לחוות דעת שהוגשה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הנשק אינו תקני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וכבר לאחר ירי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התפרק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ונעדר יכולת 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מתחמי הענישה אינם זהים בין נשק המוגדר תקני לנשק שאינו תקני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ובמקרים דומים נקבעו מתחמי ענישה 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רישומו הפלילי של הנאשם אינו כולל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ובנסיבות אלו יש לקבוע את עונשו בתחתית מתחם העונש ההולם לו עתר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נטל אחריות על מעשיו וציין כי הוא מבין את חומרתם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ההחזקה בנשק נעשתה משום המצב הביטחוני במדינה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צפוי לרצות עונש מאסר בתיק נוסף עליו הוא עומד לדין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להתחשב בהיותו 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הוא נדרש לכלכל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מעשי הנאשם פוגעים בערכים המוגנים של הגנה על שלומו ובטחונו של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הסיכון הנובע מהחזקת כלי נשק ותחמושת בידיים שאינם מיומנות ואשר אינן מורשות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נו מוחשי ובנקל עשוי להוביל להתרחשות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חמורות בפגיעה בגוף האדם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כלי הנשק והתחמושת הוסלקו מעל פרגולה המצויה בסמוך ליחידת הדיור בה התגורר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נתון המלמד על מעשה שקדם לו תכנון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בהקשר לחוות הדעת שהוגשה על ידי ההגנה מתיק החקירה ראיתי להעיר את הדברים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נטל אחריות על החזקה של כלי נשק אשר יורה ובכוחו להמית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גם בהתאם לחוות הדעת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בוצע באקדח ירי במסגרת בדיקת מעבדה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והנשק אכן 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שלאחר ירי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הצינה נשברה ולא ניתן היה להמשיך בירי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גם ביחס לעובדה שמדובר בנשק הזנקה שהוסב לאקדח שיש ביכולתו שבכוחו להמית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הנשק נתפסה מחסנית תואמת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שכלל פריטי הנשק שנתפסו מצביעים על חומרה גבוהה בביצוע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פוטנציאל סיכון גבוה לשלומו של הציבור וביטחונו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פסיקה נוהגת ראו לדוגמה</w:t>
      </w:r>
      <w:r>
        <w:rPr>
          <w:rFonts w:cs="Arial" w:ascii="Arial" w:hAnsi="Arial"/>
          <w:rtl w:val="true"/>
        </w:rPr>
        <w:t xml:space="preserve">: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18449-04-23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עמירה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עציר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ואח</w:t>
      </w:r>
      <w:r>
        <w:rPr>
          <w:rFonts w:cs="Arial" w:ascii="Arial" w:hAnsi="Arial"/>
          <w:rtl w:val="true"/>
        </w:rPr>
        <w:t>' 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2.4.2024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והפסיקה המובאת בו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714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התאם למגמת הפסיקה להחמיר בענישה בעבירות נשק 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לנסיבות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ראיתי לקבוע 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 xml:space="preserve">תחם עונש </w:t>
      </w:r>
      <w:r>
        <w:rPr>
          <w:rFonts w:ascii="Arial" w:hAnsi="Arial" w:cs="Arial"/>
          <w:rtl w:val="true"/>
        </w:rPr>
        <w:t xml:space="preserve">כולל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נשק ותחמושת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בבחינת העונש המתאים לנאשם בתוך המתחם יש להביא במסגרת שיקולי הענישה את הנסיבות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נשוי ואב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נטל </w:t>
      </w:r>
      <w:r>
        <w:rPr>
          <w:rFonts w:ascii="Arial" w:hAnsi="Arial" w:cs="Arial"/>
          <w:rtl w:val="true"/>
        </w:rPr>
        <w:t>אחריות על מעשיו</w:t>
      </w:r>
      <w:r>
        <w:rPr>
          <w:rFonts w:ascii="Arial" w:hAnsi="Arial" w:cs="Arial"/>
          <w:rtl w:val="true"/>
        </w:rPr>
        <w:t xml:space="preserve"> בבית המשפט והביע צער על מעורבותו בביצוע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עצור </w:t>
      </w:r>
      <w:r>
        <w:rPr>
          <w:rFonts w:ascii="Arial" w:hAnsi="Arial" w:cs="Arial"/>
          <w:rtl w:val="true"/>
        </w:rPr>
        <w:t>משך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לחובת הנאשם רישום פלילי הכולל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בעבירות התפרצות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גניבה ומתן אמצעים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ריצה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תקופות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האחרונה שבהן משנת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הקודמות לה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אין לחובת הנאשם רישום דומה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באיזון בין שיקולים אלו ראיתי לקבוע את עונשו של הנאשם בחלקו התחתון של המתחם ולהטיל עליו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360"/>
        <w:ind w:hanging="480" w:start="8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מאסר בפועל למשך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ascii="Arial" w:hAnsi="Arial" w:cs="Arial"/>
          <w:rtl w:val="true"/>
        </w:rPr>
        <w:t>בניכוי ימי המעצר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480" w:start="8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מאסר על תנאי לתקופה של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ascii="Arial" w:hAnsi="Arial" w:cs="Arial"/>
          <w:rtl w:val="true"/>
        </w:rPr>
        <w:t xml:space="preserve">וזאת 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</w:t>
      </w:r>
      <w:r>
        <w:rPr>
          <w:rFonts w:ascii="Arial" w:hAnsi="Arial" w:cs="Arial"/>
          <w:rtl w:val="true"/>
        </w:rPr>
        <w:t xml:space="preserve">מיום שחרורו מהמאסר </w:t>
      </w:r>
      <w:r>
        <w:rPr>
          <w:rFonts w:ascii="Arial" w:hAnsi="Arial" w:cs="Arial"/>
          <w:rtl w:val="true"/>
        </w:rPr>
        <w:t>והתנאי הוא שהנאשם לא יעבור על אחת העבירות בהן הורשע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כל עבירת נשק מסוג 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480" w:start="8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6000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אשר ישולם עד ליום </w:t>
      </w:r>
      <w:r>
        <w:rPr>
          <w:rFonts w:cs="David" w:ascii="David" w:hAnsi="David"/>
        </w:rPr>
        <w:t>1.5.2025</w:t>
      </w:r>
    </w:p>
    <w:p>
      <w:pPr>
        <w:pStyle w:val="Normal"/>
        <w:spacing w:lineRule="auto" w:line="360"/>
        <w:ind w:start="840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>יש לשלם את הקנס לחשבון המרכז לגביית קנסות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אגרות והוצאות ברשות האכיפה והגבייה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 xml:space="preserve">החל מחלוף </w:t>
      </w:r>
      <w:r>
        <w:rPr>
          <w:rFonts w:cs="David" w:ascii="David" w:hAnsi="David"/>
          <w:sz w:val="20"/>
          <w:szCs w:val="20"/>
        </w:rPr>
        <w:t>3</w:t>
      </w:r>
      <w:r>
        <w:rPr>
          <w:rFonts w:cs="David" w:ascii="David" w:hAnsi="David"/>
          <w:sz w:val="20"/>
          <w:szCs w:val="20"/>
          <w:rtl w:val="true"/>
        </w:rPr>
        <w:t xml:space="preserve"> </w:t>
      </w:r>
      <w:r>
        <w:rPr>
          <w:rFonts w:ascii="David" w:hAnsi="David"/>
          <w:sz w:val="20"/>
          <w:sz w:val="20"/>
          <w:szCs w:val="20"/>
          <w:rtl w:val="true"/>
        </w:rPr>
        <w:t xml:space="preserve">ימים מרגע מתן גזר הדין ועד ליום </w:t>
      </w:r>
      <w:r>
        <w:rPr>
          <w:rFonts w:cs="David" w:ascii="David" w:hAnsi="David"/>
          <w:sz w:val="20"/>
          <w:szCs w:val="20"/>
        </w:rPr>
        <w:t>10/3/24</w:t>
      </w:r>
      <w:r>
        <w:rPr>
          <w:rFonts w:cs="David" w:ascii="David" w:hAnsi="David"/>
          <w:sz w:val="20"/>
          <w:szCs w:val="20"/>
          <w:rtl w:val="true"/>
        </w:rPr>
        <w:t xml:space="preserve"> </w:t>
      </w:r>
      <w:r>
        <w:rPr>
          <w:rFonts w:ascii="David" w:hAnsi="David"/>
          <w:sz w:val="20"/>
          <w:sz w:val="20"/>
          <w:szCs w:val="20"/>
          <w:rtl w:val="true"/>
        </w:rPr>
        <w:t>וזאת באחת מהדרכים הבאות</w:t>
      </w:r>
      <w:r>
        <w:rPr>
          <w:rFonts w:cs="David" w:ascii="David" w:hAnsi="David"/>
          <w:sz w:val="20"/>
          <w:szCs w:val="20"/>
          <w:rtl w:val="true"/>
        </w:rPr>
        <w:t>:</w:t>
      </w:r>
    </w:p>
    <w:p>
      <w:pPr>
        <w:pStyle w:val="Normal"/>
        <w:spacing w:lineRule="auto" w:line="360"/>
        <w:ind w:start="840" w:end="0"/>
        <w:jc w:val="both"/>
        <w:rPr/>
      </w:pPr>
      <w:r>
        <w:rPr>
          <w:rFonts w:ascii="David" w:hAnsi="David"/>
          <w:sz w:val="20"/>
          <w:sz w:val="20"/>
          <w:szCs w:val="20"/>
          <w:rtl w:val="true"/>
        </w:rPr>
        <w:t>בכרטיס אשראי – באתר המקוון של רשות האכיפה והגבייה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cs="David" w:ascii="David" w:hAnsi="David"/>
          <w:sz w:val="20"/>
          <w:szCs w:val="20"/>
        </w:rPr>
        <w:t>www.eca.gov.il</w:t>
      </w:r>
      <w:r>
        <w:rPr>
          <w:rFonts w:cs="David" w:ascii="David" w:hAnsi="David"/>
          <w:sz w:val="20"/>
          <w:szCs w:val="20"/>
          <w:rtl w:val="true"/>
        </w:rPr>
        <w:t xml:space="preserve"> (</w:t>
      </w:r>
      <w:r>
        <w:rPr>
          <w:rFonts w:ascii="David" w:hAnsi="David"/>
          <w:sz w:val="20"/>
          <w:sz w:val="20"/>
          <w:szCs w:val="20"/>
          <w:rtl w:val="true"/>
        </w:rPr>
        <w:t xml:space="preserve">ניתן לשלם בפריסה של עד </w:t>
      </w:r>
      <w:r>
        <w:rPr>
          <w:rFonts w:cs="David" w:ascii="David" w:hAnsi="David"/>
          <w:sz w:val="20"/>
          <w:szCs w:val="20"/>
        </w:rPr>
        <w:t>18</w:t>
      </w:r>
      <w:r>
        <w:rPr>
          <w:rFonts w:cs="David" w:ascii="David" w:hAnsi="David"/>
          <w:sz w:val="20"/>
          <w:szCs w:val="20"/>
          <w:rtl w:val="true"/>
        </w:rPr>
        <w:t xml:space="preserve"> </w:t>
      </w:r>
      <w:r>
        <w:rPr>
          <w:rFonts w:ascii="David" w:hAnsi="David"/>
          <w:sz w:val="20"/>
          <w:sz w:val="20"/>
          <w:szCs w:val="20"/>
          <w:rtl w:val="true"/>
        </w:rPr>
        <w:t>תשלומים בהסדר קרדיט</w:t>
      </w:r>
      <w:r>
        <w:rPr>
          <w:rFonts w:cs="David" w:ascii="David" w:hAnsi="David"/>
          <w:sz w:val="20"/>
          <w:szCs w:val="20"/>
          <w:rtl w:val="true"/>
        </w:rPr>
        <w:t xml:space="preserve">) </w:t>
      </w:r>
      <w:r>
        <w:rPr>
          <w:rFonts w:ascii="David" w:hAnsi="David"/>
          <w:sz w:val="20"/>
          <w:sz w:val="20"/>
          <w:szCs w:val="20"/>
          <w:rtl w:val="true"/>
        </w:rPr>
        <w:t xml:space="preserve">או חפש בגוגל </w:t>
      </w:r>
      <w:r>
        <w:rPr>
          <w:rFonts w:cs="David" w:ascii="David" w:hAnsi="David"/>
          <w:sz w:val="20"/>
          <w:szCs w:val="20"/>
          <w:rtl w:val="true"/>
        </w:rPr>
        <w:t xml:space="preserve">" </w:t>
      </w:r>
      <w:r>
        <w:rPr>
          <w:rFonts w:ascii="David" w:hAnsi="David"/>
          <w:sz w:val="20"/>
          <w:sz w:val="20"/>
          <w:szCs w:val="20"/>
          <w:rtl w:val="true"/>
        </w:rPr>
        <w:t>תשלום גביית קנסות</w:t>
      </w:r>
      <w:r>
        <w:rPr>
          <w:rFonts w:cs="David" w:ascii="David" w:hAnsi="David"/>
          <w:sz w:val="20"/>
          <w:szCs w:val="20"/>
          <w:rtl w:val="true"/>
        </w:rPr>
        <w:t>".</w:t>
      </w:r>
    </w:p>
    <w:p>
      <w:pPr>
        <w:pStyle w:val="Normal"/>
        <w:spacing w:lineRule="auto" w:line="360"/>
        <w:ind w:start="840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 xml:space="preserve">מוקד שירות טלפוני בשרות עצמי </w:t>
      </w:r>
      <w:r>
        <w:rPr>
          <w:rFonts w:cs="David" w:ascii="David" w:hAnsi="David"/>
          <w:sz w:val="20"/>
          <w:szCs w:val="20"/>
          <w:rtl w:val="true"/>
        </w:rPr>
        <w:t>(</w:t>
      </w:r>
      <w:r>
        <w:rPr>
          <w:rFonts w:ascii="David" w:hAnsi="David"/>
          <w:sz w:val="20"/>
          <w:sz w:val="20"/>
          <w:szCs w:val="20"/>
          <w:rtl w:val="true"/>
        </w:rPr>
        <w:t>מרכז גבייה</w:t>
      </w:r>
      <w:r>
        <w:rPr>
          <w:rFonts w:cs="David" w:ascii="David" w:hAnsi="David"/>
          <w:sz w:val="20"/>
          <w:szCs w:val="20"/>
          <w:rtl w:val="true"/>
        </w:rPr>
        <w:t xml:space="preserve">) – </w:t>
      </w:r>
      <w:r>
        <w:rPr>
          <w:rFonts w:ascii="David" w:hAnsi="David"/>
          <w:sz w:val="20"/>
          <w:sz w:val="20"/>
          <w:szCs w:val="20"/>
          <w:rtl w:val="true"/>
        </w:rPr>
        <w:t xml:space="preserve">בטלפון </w:t>
      </w:r>
      <w:r>
        <w:rPr>
          <w:rFonts w:cs="David" w:ascii="David" w:hAnsi="David"/>
          <w:sz w:val="20"/>
          <w:szCs w:val="20"/>
        </w:rPr>
        <w:t>35592</w:t>
      </w:r>
      <w:r>
        <w:rPr>
          <w:rFonts w:cs="David" w:ascii="David" w:hAnsi="David"/>
          <w:sz w:val="20"/>
          <w:szCs w:val="20"/>
          <w:rtl w:val="true"/>
        </w:rPr>
        <w:t xml:space="preserve">* </w:t>
      </w:r>
      <w:r>
        <w:rPr>
          <w:rFonts w:ascii="David" w:hAnsi="David"/>
          <w:sz w:val="20"/>
          <w:sz w:val="20"/>
          <w:szCs w:val="20"/>
          <w:rtl w:val="true"/>
        </w:rPr>
        <w:t xml:space="preserve">או בטלפון </w:t>
      </w:r>
      <w:r>
        <w:rPr>
          <w:rFonts w:cs="David" w:ascii="David" w:hAnsi="David"/>
          <w:sz w:val="20"/>
          <w:szCs w:val="20"/>
        </w:rPr>
        <w:t>073-2055000</w:t>
      </w:r>
      <w:r>
        <w:rPr>
          <w:rFonts w:cs="David" w:ascii="David" w:hAnsi="David"/>
          <w:sz w:val="20"/>
          <w:szCs w:val="20"/>
          <w:rtl w:val="true"/>
        </w:rPr>
        <w:t xml:space="preserve"> (</w:t>
      </w:r>
      <w:r>
        <w:rPr>
          <w:rFonts w:ascii="David" w:hAnsi="David"/>
          <w:sz w:val="20"/>
          <w:sz w:val="20"/>
          <w:szCs w:val="20"/>
          <w:rtl w:val="true"/>
        </w:rPr>
        <w:t>ניתן לפנות לנציגים לקבלת מידע במספרים הללו</w:t>
      </w:r>
      <w:r>
        <w:rPr>
          <w:rFonts w:cs="David" w:ascii="David" w:hAnsi="David"/>
          <w:sz w:val="20"/>
          <w:szCs w:val="20"/>
          <w:rtl w:val="true"/>
        </w:rPr>
        <w:t>).</w:t>
      </w:r>
    </w:p>
    <w:p>
      <w:pPr>
        <w:pStyle w:val="Normal"/>
        <w:spacing w:lineRule="auto" w:line="360"/>
        <w:ind w:firstLine="360" w:start="480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 xml:space="preserve">במזומן בכל סניף של בנק הדואר – בהצגת תעודת זהות בלבד </w:t>
      </w:r>
      <w:r>
        <w:rPr>
          <w:rFonts w:cs="David" w:ascii="David" w:hAnsi="David"/>
          <w:sz w:val="20"/>
          <w:szCs w:val="20"/>
          <w:rtl w:val="true"/>
        </w:rPr>
        <w:t>(</w:t>
      </w:r>
      <w:r>
        <w:rPr>
          <w:rFonts w:ascii="David" w:hAnsi="David"/>
          <w:sz w:val="20"/>
          <w:sz w:val="20"/>
          <w:szCs w:val="20"/>
          <w:rtl w:val="true"/>
        </w:rPr>
        <w:t>אין צורך בשוברי תשלום</w:t>
      </w:r>
      <w:r>
        <w:rPr>
          <w:rFonts w:cs="David" w:ascii="David" w:hAnsi="David"/>
          <w:sz w:val="20"/>
          <w:szCs w:val="20"/>
          <w:rtl w:val="true"/>
        </w:rPr>
        <w:t>).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זכות ערעור לבית המשפט המחוזי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7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7"/>
      <w:r>
        <w:rPr>
          <w:rFonts w:cs="Arial" w:ascii="Arial" w:hAnsi="Arial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</w:t>
      </w:r>
      <w:r>
        <w:rPr>
          <w:rFonts w:cs="Arial" w:ascii="Arial" w:hAnsi="Arial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65646-12-23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ישראל ידידיה בוהדנה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lang w:bidi="he-IL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84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bidi="he-IL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29565126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2024-08-19T11:50:00Z</dcterms:created>
  <dc:creator> </dc:creator>
  <dc:description/>
  <cp:keywords/>
  <dc:language>en-IL</dc:language>
  <cp:lastModifiedBy>h1</cp:lastModifiedBy>
  <dcterms:modified xsi:type="dcterms:W3CDTF">2024-08-19T11:50:00Z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ישראל ידידיה בוהדנה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29565126</vt:lpwstr>
  </property>
  <property fmtid="{D5CDD505-2E9C-101B-9397-08002B2CF9AE}" pid="9" name="CITY">
    <vt:lpwstr>י-ם</vt:lpwstr>
  </property>
  <property fmtid="{D5CDD505-2E9C-101B-9397-08002B2CF9AE}" pid="10" name="DATE">
    <vt:lpwstr>20240813</vt:lpwstr>
  </property>
  <property fmtid="{D5CDD505-2E9C-101B-9397-08002B2CF9AE}" pid="11" name="DELEMATA">
    <vt:lpwstr/>
  </property>
  <property fmtid="{D5CDD505-2E9C-101B-9397-08002B2CF9AE}" pid="12" name="JUDGE">
    <vt:lpwstr>ארנון איתן</vt:lpwstr>
  </property>
  <property fmtid="{D5CDD505-2E9C-101B-9397-08002B2CF9AE}" pid="13" name="LAWLISTTMP1">
    <vt:lpwstr>70301</vt:lpwstr>
  </property>
  <property fmtid="{D5CDD505-2E9C-101B-9397-08002B2CF9AE}" pid="14" name="LAWYER">
    <vt:lpwstr>שלום בן שבת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65646</vt:lpwstr>
  </property>
  <property fmtid="{D5CDD505-2E9C-101B-9397-08002B2CF9AE}" pid="21" name="NEWPARTB">
    <vt:lpwstr>12</vt:lpwstr>
  </property>
  <property fmtid="{D5CDD505-2E9C-101B-9397-08002B2CF9AE}" pid="22" name="NEWPARTC">
    <vt:lpwstr>23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TYPE_ABS_DATE">
    <vt:lpwstr>380020240813</vt:lpwstr>
  </property>
  <property fmtid="{D5CDD505-2E9C-101B-9397-08002B2CF9AE}" pid="33" name="TYPE_N_DATE">
    <vt:lpwstr>38020240813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