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66110-11-23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דבאבסה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יריב בן דוד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תביעות נגב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אנור דבאבסה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בעצמו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טביק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1"/>
        <w:ind w:end="0"/>
        <w:jc w:val="both"/>
        <w:rPr/>
      </w:pPr>
      <w:r>
        <w:rPr>
          <w:rtl w:val="true"/>
        </w:rPr>
        <w:t>רקע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bookmarkStart w:id="9" w:name="ABSTRACT_START"/>
      <w:bookmarkEnd w:id="9"/>
      <w:r>
        <w:rPr>
          <w:rtl w:val="true"/>
        </w:rPr>
        <w:t>הנאשם הורשע על פי הודאתו בכתב אישום מתוקן בעבירות החזקת נשק והחזקת תחמושת</w:t>
      </w:r>
      <w:r>
        <w:rPr>
          <w:rtl w:val="true"/>
        </w:rPr>
        <w:t xml:space="preserve">, </w:t>
      </w:r>
      <w:r>
        <w:rPr>
          <w:rtl w:val="true"/>
        </w:rPr>
        <w:t xml:space="preserve">בניגוד </w:t>
      </w:r>
      <w:hyperlink r:id="rId9">
        <w:r>
          <w:rPr>
            <w:rStyle w:val="Hyperlink"/>
            <w:color w:val="0000FF"/>
            <w:rtl w:val="true"/>
          </w:rPr>
          <w:t>לסעיפים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ב</w:t>
      </w:r>
      <w:hyperlink r:id="rId1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10" w:name="ABSTRACT_END"/>
      <w:bookmarkEnd w:id="10"/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>").</w:t>
      </w:r>
    </w:p>
    <w:p>
      <w:pPr>
        <w:pStyle w:val="Style13"/>
        <w:ind w:end="0"/>
        <w:jc w:val="both"/>
        <w:rPr/>
      </w:pPr>
      <w:r>
        <w:rPr>
          <w:rtl w:val="true"/>
        </w:rPr>
        <w:t>על פי עובדות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בחדר אירוח הסמוך לביתו בישוב יאטה </w:t>
      </w:r>
      <w:r>
        <w:rPr>
          <w:rtl w:val="true"/>
        </w:rPr>
        <w:t xml:space="preserve">, </w:t>
      </w:r>
      <w:r>
        <w:rPr>
          <w:rtl w:val="true"/>
        </w:rPr>
        <w:t xml:space="preserve">בתוך מגירת שולחן האוכל באקדח חצי אוטומטי קליבר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מתוצרת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טעון במחסנית תואמת עם תחמושת</w:t>
      </w:r>
      <w:r>
        <w:rPr>
          <w:rtl w:val="true"/>
        </w:rPr>
        <w:t xml:space="preserve">, </w:t>
      </w:r>
      <w:r>
        <w:rPr>
          <w:rtl w:val="true"/>
        </w:rPr>
        <w:t>ולצידו מחסנית תואמת נוספת עם תחמושת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הנאשם החזיק באמל</w:t>
      </w:r>
      <w:r>
        <w:rPr>
          <w:rtl w:val="true"/>
        </w:rPr>
        <w:t>"</w:t>
      </w:r>
      <w:r>
        <w:rPr>
          <w:rtl w:val="true"/>
        </w:rPr>
        <w:t xml:space="preserve">ח  שלעיל במשך מספר חודשים עובר ליום </w:t>
      </w:r>
      <w:r>
        <w:rPr/>
        <w:t>19.11.23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tl w:val="true"/>
        </w:rPr>
        <w:t>טיעונים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rtl w:val="true"/>
        </w:rPr>
        <w:t xml:space="preserve">בדיון שנערך ביום </w:t>
      </w:r>
      <w:r>
        <w:rPr/>
        <w:t>17.4.24</w:t>
      </w:r>
      <w:r>
        <w:rPr>
          <w:rtl w:val="true"/>
        </w:rPr>
        <w:t xml:space="preserve">, </w:t>
      </w:r>
      <w:r>
        <w:rPr>
          <w:rtl w:val="true"/>
        </w:rPr>
        <w:t>הגישה ב</w:t>
      </w:r>
      <w:r>
        <w:rPr>
          <w:rtl w:val="true"/>
        </w:rPr>
        <w:t>"</w:t>
      </w:r>
      <w:r>
        <w:rPr>
          <w:rtl w:val="true"/>
        </w:rPr>
        <w:t xml:space="preserve">כ המאשימה טיעונים לעונש בכתב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</w:p>
    <w:p>
      <w:pPr>
        <w:pStyle w:val="Style14"/>
        <w:numPr>
          <w:ilvl w:val="0"/>
          <w:numId w:val="0"/>
        </w:numPr>
        <w:ind w:hanging="0" w:start="651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העיד מטעם ההגנה את אבי הנאשם</w:t>
      </w:r>
      <w:r>
        <w:rPr>
          <w:rtl w:val="true"/>
        </w:rPr>
        <w:t xml:space="preserve">, </w:t>
      </w:r>
      <w:r>
        <w:rPr>
          <w:rtl w:val="true"/>
        </w:rPr>
        <w:t xml:space="preserve">מר כמאל דבאבסה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האב</w:t>
      </w:r>
      <w:r>
        <w:rPr>
          <w:rtl w:val="true"/>
        </w:rPr>
        <w:t>").</w:t>
      </w:r>
    </w:p>
    <w:p>
      <w:pPr>
        <w:pStyle w:val="Style13"/>
        <w:ind w:end="0"/>
        <w:jc w:val="both"/>
        <w:rPr/>
      </w:pP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הציג האב תעודה</w:t>
      </w:r>
      <w:r>
        <w:rPr>
          <w:rtl w:val="true"/>
        </w:rPr>
        <w:t xml:space="preserve">, </w:t>
      </w:r>
      <w:r>
        <w:rPr>
          <w:rtl w:val="true"/>
        </w:rPr>
        <w:t>לפיה הוא עובד עם משרד הביטחון</w:t>
      </w:r>
      <w:r>
        <w:rPr>
          <w:rtl w:val="true"/>
        </w:rPr>
        <w:t xml:space="preserve">. </w:t>
      </w:r>
      <w:r>
        <w:rPr>
          <w:rtl w:val="true"/>
        </w:rPr>
        <w:t>האב מסר כי משפחתו מאוימת</w:t>
      </w:r>
      <w:r>
        <w:rPr>
          <w:rtl w:val="true"/>
        </w:rPr>
        <w:t xml:space="preserve">, </w:t>
      </w:r>
      <w:r>
        <w:rPr>
          <w:rtl w:val="true"/>
        </w:rPr>
        <w:t xml:space="preserve">כי אמו ואחיו נרצחו בתחומי </w:t>
      </w:r>
      <w:r>
        <w:rPr>
          <w:rtl w:val="true"/>
        </w:rPr>
        <w:t>"</w:t>
      </w:r>
      <w:r>
        <w:rPr>
          <w:rtl w:val="true"/>
        </w:rPr>
        <w:t>האזור</w:t>
      </w:r>
      <w:r>
        <w:rPr>
          <w:rtl w:val="true"/>
        </w:rPr>
        <w:t xml:space="preserve">", </w:t>
      </w:r>
      <w:r>
        <w:rPr>
          <w:rtl w:val="true"/>
        </w:rPr>
        <w:t>וכי בנו – הנאשם</w:t>
      </w:r>
      <w:r>
        <w:rPr>
          <w:rtl w:val="true"/>
        </w:rPr>
        <w:t xml:space="preserve">, </w:t>
      </w:r>
      <w:r>
        <w:rPr>
          <w:rtl w:val="true"/>
        </w:rPr>
        <w:t>החזיק בנשק לצורכי הגנה עצמית</w:t>
      </w:r>
      <w:r>
        <w:rPr>
          <w:rtl w:val="true"/>
        </w:rPr>
        <w:t xml:space="preserve">. </w:t>
      </w:r>
      <w:r>
        <w:rPr>
          <w:rtl w:val="true"/>
        </w:rPr>
        <w:t>לדברי האב – הוא והנאשם מתגוררים ברמלה אך אשת הנאשם גרה ביאטה</w:t>
      </w:r>
      <w:r>
        <w:rPr>
          <w:rtl w:val="true"/>
        </w:rPr>
        <w:t xml:space="preserve">, </w:t>
      </w:r>
      <w:r>
        <w:rPr>
          <w:rtl w:val="true"/>
        </w:rPr>
        <w:t>שכן איננה תושבת ישראל</w:t>
      </w:r>
      <w:r>
        <w:rPr>
          <w:rtl w:val="true"/>
        </w:rPr>
        <w:t xml:space="preserve">. 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rtl w:val="true"/>
        </w:rPr>
        <w:t xml:space="preserve"> הפנה לערכים המוגנים אשר נפגעו כתוצאה ממעשי הנאשם</w:t>
      </w:r>
      <w:r>
        <w:rPr>
          <w:rtl w:val="true"/>
        </w:rPr>
        <w:t xml:space="preserve">: </w:t>
      </w:r>
      <w:r>
        <w:rPr>
          <w:rtl w:val="true"/>
        </w:rPr>
        <w:t>חשש ממשי לפגיעה בחפים מפשע</w:t>
      </w:r>
      <w:r>
        <w:rPr>
          <w:rtl w:val="true"/>
        </w:rPr>
        <w:t xml:space="preserve">; </w:t>
      </w:r>
      <w:r>
        <w:rPr>
          <w:rtl w:val="true"/>
        </w:rPr>
        <w:t>חשש להסלמת אלימות עבריינית</w:t>
      </w:r>
      <w:r>
        <w:rPr>
          <w:rtl w:val="true"/>
        </w:rPr>
        <w:t xml:space="preserve">; </w:t>
      </w:r>
      <w:r>
        <w:rPr>
          <w:rtl w:val="true"/>
        </w:rPr>
        <w:t>ערעור הביטחון האישי</w:t>
      </w:r>
      <w:r>
        <w:rPr>
          <w:rtl w:val="true"/>
        </w:rPr>
        <w:t xml:space="preserve">; </w:t>
      </w:r>
      <w:r>
        <w:rPr>
          <w:rtl w:val="true"/>
        </w:rPr>
        <w:t>והפרת הסדר הציבורי</w:t>
      </w:r>
      <w:r>
        <w:rPr>
          <w:rtl w:val="true"/>
        </w:rPr>
        <w:t xml:space="preserve">. </w:t>
      </w:r>
      <w:r>
        <w:rPr>
          <w:rtl w:val="true"/>
        </w:rPr>
        <w:t>לשיטת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הפגיעה בערכים היא אלו הינה במידה משמעותית ביותר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Fonts w:eastAsia="David"/>
          <w:rtl w:val="true"/>
        </w:rPr>
        <w:t>ב</w:t>
      </w:r>
      <w:r>
        <w:rPr>
          <w:rFonts w:eastAsia="David"/>
          <w:rtl w:val="true"/>
        </w:rPr>
        <w:t>"</w:t>
      </w:r>
      <w:r>
        <w:rPr>
          <w:rFonts w:eastAsia="David"/>
          <w:rtl w:val="true"/>
        </w:rPr>
        <w:t>כ המאשימה טען לחומרה כי האקדח היה טעון במחסנית עם תחמושת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היה מוכן לביצוע ירי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וכי לצידו הוחזקה אף מחסנית טעונה נוספת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והכל במשך מספר חודשים</w:t>
      </w:r>
      <w:r>
        <w:rPr>
          <w:rFonts w:eastAsia="David"/>
          <w:rtl w:val="true"/>
        </w:rPr>
        <w:t>.</w:t>
      </w:r>
    </w:p>
    <w:p>
      <w:pPr>
        <w:pStyle w:val="Style13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המאשימה עתר לקביעת מתחם ענישה שנע בין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לבין 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אשר לנסיבות שאינן 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הפנה ב</w:t>
      </w:r>
      <w:r>
        <w:rPr>
          <w:rtl w:val="true"/>
        </w:rPr>
        <w:t>"</w:t>
      </w:r>
      <w:r>
        <w:rPr>
          <w:rtl w:val="true"/>
        </w:rPr>
        <w:t>כ המאשימה להיעדרו של עבר פלילי ולהודאת הנאשם אשר הביאה לחיסכון בזמן השיפוטי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>כ המאשימה למקם את עונשו של הנאשם בשליש התחתון של מתחם העונש ההולם</w:t>
      </w:r>
      <w:r>
        <w:rPr>
          <w:rtl w:val="true"/>
        </w:rPr>
        <w:t xml:space="preserve">, </w:t>
      </w:r>
      <w:r>
        <w:rPr>
          <w:rtl w:val="true"/>
        </w:rPr>
        <w:t>ולהורות על הטלת רכיבי ענישה נלווים של מאסר מותנה ארוך ומרתיע</w:t>
      </w:r>
      <w:r>
        <w:rPr>
          <w:rtl w:val="true"/>
        </w:rPr>
        <w:t xml:space="preserve">, </w:t>
      </w:r>
      <w:r>
        <w:rPr>
          <w:rtl w:val="true"/>
        </w:rPr>
        <w:t>קנס והתחייבות</w:t>
      </w:r>
      <w:r>
        <w:rPr>
          <w:rtl w:val="true"/>
        </w:rPr>
        <w:t>.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</w:t>
      </w:r>
      <w:r>
        <w:rPr>
          <w:rtl w:val="true"/>
        </w:rPr>
        <w:t xml:space="preserve"> טען כי הנאשם הודה בהזדמנות הראשונה ונטל אחריות למעשיו</w:t>
      </w:r>
      <w:r>
        <w:rPr>
          <w:rtl w:val="true"/>
        </w:rPr>
        <w:t xml:space="preserve">. </w:t>
      </w:r>
      <w:r>
        <w:rPr>
          <w:rtl w:val="true"/>
        </w:rPr>
        <w:t>נטען כי הימצאות כלי הנשק ב</w:t>
      </w:r>
      <w:r>
        <w:rPr>
          <w:rtl w:val="true"/>
        </w:rPr>
        <w:t>"</w:t>
      </w:r>
      <w:r>
        <w:rPr>
          <w:rtl w:val="true"/>
        </w:rPr>
        <w:t>אזור</w:t>
      </w:r>
      <w:r>
        <w:rPr>
          <w:rtl w:val="true"/>
        </w:rPr>
        <w:t xml:space="preserve">" </w:t>
      </w:r>
      <w:r>
        <w:rPr>
          <w:rtl w:val="true"/>
        </w:rPr>
        <w:t>מפחית סיכון</w:t>
      </w:r>
      <w:r>
        <w:rPr>
          <w:rtl w:val="true"/>
        </w:rPr>
        <w:t xml:space="preserve">, </w:t>
      </w:r>
      <w:r>
        <w:rPr>
          <w:rtl w:val="true"/>
        </w:rPr>
        <w:t>ולא כטענת המאשימה</w:t>
      </w:r>
      <w:r>
        <w:rPr>
          <w:rtl w:val="true"/>
        </w:rPr>
        <w:t xml:space="preserve">, </w:t>
      </w:r>
      <w:r>
        <w:rPr>
          <w:rtl w:val="true"/>
        </w:rPr>
        <w:t>שכן הנשק לא מסכן את אזרחי מדינת ישראל אשר גרים בתחומה</w:t>
      </w:r>
      <w:r>
        <w:rPr>
          <w:rtl w:val="true"/>
        </w:rPr>
        <w:t>.</w:t>
      </w:r>
    </w:p>
    <w:p>
      <w:pPr>
        <w:pStyle w:val="Style13"/>
        <w:ind w:end="0"/>
        <w:jc w:val="both"/>
        <w:rPr>
          <w:rFonts w:eastAsia="David"/>
        </w:rPr>
      </w:pPr>
      <w:r>
        <w:rPr>
          <w:rFonts w:eastAsia="David"/>
          <w:rtl w:val="true"/>
        </w:rPr>
        <w:t>ב</w:t>
      </w:r>
      <w:r>
        <w:rPr>
          <w:rFonts w:eastAsia="David"/>
          <w:rtl w:val="true"/>
        </w:rPr>
        <w:t>"</w:t>
      </w:r>
      <w:r>
        <w:rPr>
          <w:rFonts w:eastAsia="David"/>
          <w:rtl w:val="true"/>
        </w:rPr>
        <w:t>כ הנאשם הפנה לעדות האב לפיה נרצחו בני משפחתו בידי התנזים על רקע שיתוף הפעולה של אבי הנאשם עם כוחות הביטחון</w:t>
      </w:r>
      <w:r>
        <w:rPr>
          <w:rFonts w:eastAsia="David"/>
          <w:rtl w:val="true"/>
        </w:rPr>
        <w:t>.</w:t>
      </w:r>
    </w:p>
    <w:p>
      <w:pPr>
        <w:pStyle w:val="Style13"/>
        <w:ind w:end="0"/>
        <w:jc w:val="both"/>
        <w:rPr>
          <w:rFonts w:eastAsia="David"/>
        </w:rPr>
      </w:pPr>
      <w:r>
        <w:rPr>
          <w:rFonts w:eastAsia="David"/>
          <w:rtl w:val="true"/>
        </w:rPr>
        <w:t>ב</w:t>
      </w:r>
      <w:r>
        <w:rPr>
          <w:rFonts w:eastAsia="David"/>
          <w:rtl w:val="true"/>
        </w:rPr>
        <w:t>"</w:t>
      </w:r>
      <w:r>
        <w:rPr>
          <w:rFonts w:eastAsia="David"/>
          <w:rtl w:val="true"/>
        </w:rPr>
        <w:t>כ הנאשם טען כי מתחם המאשימה לא תואם את הפסיקה הנוהגת ולשיטת ההגנה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 xml:space="preserve">המתחם הראוי נע בין </w:t>
      </w:r>
      <w:r>
        <w:rPr>
          <w:rFonts w:eastAsia="David"/>
          <w:b/>
          <w:bCs/>
        </w:rPr>
        <w:t>12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ל</w:t>
      </w:r>
      <w:r>
        <w:rPr>
          <w:rFonts w:eastAsia="David"/>
          <w:b/>
          <w:bCs/>
          <w:rtl w:val="true"/>
        </w:rPr>
        <w:t>-</w:t>
      </w:r>
      <w:r>
        <w:rPr>
          <w:rFonts w:eastAsia="David"/>
          <w:b/>
          <w:bCs/>
        </w:rPr>
        <w:t>20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חודשי מאסר</w:t>
      </w:r>
      <w:r>
        <w:rPr>
          <w:rFonts w:eastAsia="David"/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Fonts w:eastAsia="David"/>
          <w:rtl w:val="true"/>
        </w:rPr>
        <w:t>ב</w:t>
      </w:r>
      <w:r>
        <w:rPr>
          <w:rFonts w:eastAsia="David"/>
          <w:rtl w:val="true"/>
        </w:rPr>
        <w:t>"</w:t>
      </w:r>
      <w:r>
        <w:rPr>
          <w:rFonts w:eastAsia="David"/>
          <w:rtl w:val="true"/>
        </w:rPr>
        <w:t>כ הנאשם עתר לחרוג ממתחם העונש נוכח מטרת ההחזקה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 xml:space="preserve">מיקום הנשק בשטחי </w:t>
      </w:r>
      <w:r>
        <w:rPr>
          <w:rFonts w:eastAsia="David"/>
          <w:rtl w:val="true"/>
        </w:rPr>
        <w:t>"</w:t>
      </w:r>
      <w:r>
        <w:rPr>
          <w:rFonts w:eastAsia="David"/>
          <w:rtl w:val="true"/>
        </w:rPr>
        <w:t>האזור</w:t>
      </w:r>
      <w:r>
        <w:rPr>
          <w:rFonts w:eastAsia="David"/>
          <w:rtl w:val="true"/>
        </w:rPr>
        <w:t xml:space="preserve">" </w:t>
      </w:r>
      <w:r>
        <w:rPr>
          <w:rFonts w:eastAsia="David"/>
          <w:rtl w:val="true"/>
        </w:rPr>
        <w:t>ותרומת האב למדינה</w:t>
      </w:r>
      <w:r>
        <w:rPr>
          <w:rFonts w:eastAsia="David"/>
          <w:rtl w:val="true"/>
        </w:rPr>
        <w:t>.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rtl w:val="true"/>
        </w:rPr>
        <w:t>בדבריו האחרונים</w:t>
      </w:r>
      <w:r>
        <w:rPr>
          <w:rtl w:val="true"/>
        </w:rPr>
        <w:t xml:space="preserve">, </w:t>
      </w:r>
      <w:r>
        <w:rPr>
          <w:rtl w:val="true"/>
        </w:rPr>
        <w:t xml:space="preserve">מסר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>:</w:t>
      </w:r>
    </w:p>
    <w:p>
      <w:pPr>
        <w:pStyle w:val="Style15"/>
        <w:ind w:end="709"/>
        <w:jc w:val="both"/>
        <w:rPr/>
      </w:pPr>
      <w:r>
        <w:rPr>
          <w:rtl w:val="true"/>
        </w:rPr>
        <w:t>"</w:t>
      </w:r>
      <w:r>
        <w:rPr>
          <w:rtl w:val="true"/>
        </w:rPr>
        <w:t>התובע רוצה שאם אני רואה מחבל אני אעצום עיניים</w:t>
      </w:r>
      <w:r>
        <w:rPr>
          <w:rtl w:val="true"/>
        </w:rPr>
        <w:t xml:space="preserve">. </w:t>
      </w:r>
      <w:r>
        <w:rPr>
          <w:rtl w:val="true"/>
        </w:rPr>
        <w:t xml:space="preserve">כאילו הוא אומר </w:t>
      </w:r>
      <w:r>
        <w:rPr>
          <w:rtl w:val="true"/>
        </w:rPr>
        <w:t>"</w:t>
      </w:r>
      <w:r>
        <w:rPr>
          <w:rtl w:val="true"/>
        </w:rPr>
        <w:t>אל תעזור</w:t>
      </w:r>
      <w:r>
        <w:rPr>
          <w:rtl w:val="true"/>
        </w:rPr>
        <w:t xml:space="preserve">". </w:t>
      </w:r>
      <w:r>
        <w:rPr>
          <w:rtl w:val="true"/>
        </w:rPr>
        <w:t>אני עזרתי כמה שאני יכול</w:t>
      </w:r>
      <w:r>
        <w:rPr>
          <w:rtl w:val="true"/>
        </w:rPr>
        <w:t xml:space="preserve">. </w:t>
      </w:r>
      <w:r>
        <w:rPr>
          <w:rtl w:val="true"/>
        </w:rPr>
        <w:t>אחי</w:t>
      </w:r>
      <w:r>
        <w:rPr>
          <w:rtl w:val="true"/>
        </w:rPr>
        <w:t xml:space="preserve">, </w:t>
      </w:r>
      <w:r>
        <w:rPr>
          <w:rtl w:val="true"/>
        </w:rPr>
        <w:t>סבתי נפטרו בשטחים</w:t>
      </w:r>
      <w:r>
        <w:rPr>
          <w:rtl w:val="true"/>
        </w:rPr>
        <w:t xml:space="preserve">. </w:t>
      </w:r>
      <w:r>
        <w:rPr>
          <w:rtl w:val="true"/>
        </w:rPr>
        <w:t>לקחתי את האקדח כדי להגן על עצמי</w:t>
      </w:r>
      <w:r>
        <w:rPr>
          <w:rtl w:val="true"/>
        </w:rPr>
        <w:t xml:space="preserve">. </w:t>
      </w:r>
      <w:r>
        <w:rPr>
          <w:rtl w:val="true"/>
        </w:rPr>
        <w:t>האקדח היה כדי להגן מחמאס</w:t>
      </w:r>
      <w:r>
        <w:rPr>
          <w:rtl w:val="true"/>
        </w:rPr>
        <w:t xml:space="preserve">. </w:t>
      </w:r>
      <w:r>
        <w:rPr>
          <w:rtl w:val="true"/>
        </w:rPr>
        <w:t>מה שהיה ב</w:t>
      </w:r>
      <w:r>
        <w:rPr>
          <w:rtl w:val="true"/>
        </w:rPr>
        <w:t>-</w:t>
      </w:r>
      <w:r>
        <w:rPr/>
        <w:t>07.10</w:t>
      </w:r>
      <w:r>
        <w:rPr>
          <w:rtl w:val="true"/>
        </w:rPr>
        <w:t xml:space="preserve"> </w:t>
      </w:r>
      <w:r>
        <w:rPr>
          <w:rtl w:val="true"/>
        </w:rPr>
        <w:t>היה כבד</w:t>
      </w:r>
      <w:r>
        <w:rPr>
          <w:rtl w:val="true"/>
        </w:rPr>
        <w:t xml:space="preserve">. </w:t>
      </w:r>
      <w:r>
        <w:rPr>
          <w:rtl w:val="true"/>
        </w:rPr>
        <w:t>אני שמתי אקדח במגירה כדי להגן על עצמי ועל הוריי</w:t>
      </w:r>
      <w:r>
        <w:rPr>
          <w:rtl w:val="true"/>
        </w:rPr>
        <w:t>."</w:t>
      </w:r>
    </w:p>
    <w:p>
      <w:pPr>
        <w:pStyle w:val="1"/>
        <w:ind w:end="0"/>
        <w:jc w:val="both"/>
        <w:rPr/>
      </w:pP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rtl w:val="true"/>
        </w:rPr>
        <w:t xml:space="preserve">מתחם העונש יקבע בהתאם לעקרון ההלימה תוך מתן משקל </w:t>
      </w:r>
      <w:r>
        <w:rPr>
          <w:b/>
          <w:b/>
          <w:bCs/>
          <w:rtl w:val="true"/>
        </w:rPr>
        <w:t>לערכים החברתיים</w:t>
      </w:r>
      <w:r>
        <w:rPr>
          <w:rtl w:val="true"/>
        </w:rPr>
        <w:t xml:space="preserve"> שנפגעו מביצוע העבירות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למידת הפגיעה </w:t>
      </w:r>
      <w:r>
        <w:rPr>
          <w:rtl w:val="true"/>
        </w:rPr>
        <w:t xml:space="preserve">בהם </w:t>
      </w:r>
      <w:r>
        <w:rPr>
          <w:b/>
          <w:b/>
          <w:bCs/>
          <w:rtl w:val="true"/>
        </w:rPr>
        <w:t>ולמדיניות הענישה</w:t>
      </w:r>
      <w:r>
        <w:rPr>
          <w:rtl w:val="true"/>
        </w:rPr>
        <w:t xml:space="preserve"> הנהוגה</w:t>
      </w:r>
      <w:r>
        <w:rPr>
          <w:rtl w:val="true"/>
        </w:rPr>
        <w:t xml:space="preserve">, </w:t>
      </w:r>
      <w:r>
        <w:rPr>
          <w:rtl w:val="true"/>
        </w:rPr>
        <w:t xml:space="preserve">והכל </w:t>
      </w:r>
      <w:r>
        <w:rPr>
          <w:b/>
          <w:b/>
          <w:bCs/>
          <w:rtl w:val="true"/>
        </w:rPr>
        <w:t xml:space="preserve">בנסיבות הקשורות בביצוע העבירה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).</w:t>
      </w:r>
    </w:p>
    <w:p>
      <w:pPr>
        <w:pStyle w:val="Style13"/>
        <w:ind w:end="0"/>
        <w:jc w:val="both"/>
        <w:rPr/>
      </w:pPr>
      <w:r>
        <w:rPr>
          <w:u w:val="single"/>
          <w:rtl w:val="true"/>
        </w:rPr>
        <w:t>עיקרון ההלימה הינו העיקרון המנחה בענישה</w:t>
      </w:r>
      <w:r>
        <w:rPr>
          <w:rtl w:val="true"/>
        </w:rPr>
        <w:t xml:space="preserve"> – קיומו של יחס הולם בין חומרת מעשה העבירה בנסיבותיו ומידת אשמו של הנאשם ובין סוג ומידת העונש המוטל עליו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ב</w:t>
        </w:r>
      </w:hyperlink>
      <w:r>
        <w:rPr>
          <w:rtl w:val="true"/>
        </w:rPr>
        <w:t xml:space="preserve"> ל</w:t>
      </w:r>
      <w:hyperlink r:id="rId1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).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rtl w:val="true"/>
        </w:rPr>
        <w:t>הערכים המוגנים אשר נפגעו ממעשיו של הנאשם הם שמירה על ביטחון הציבור</w:t>
      </w:r>
      <w:r>
        <w:rPr>
          <w:rtl w:val="true"/>
        </w:rPr>
        <w:t xml:space="preserve">, </w:t>
      </w:r>
      <w:r>
        <w:rPr>
          <w:rtl w:val="true"/>
        </w:rPr>
        <w:t>והגנה שלומם ושלמות גופם של האזרחים</w:t>
      </w:r>
      <w:r>
        <w:rPr>
          <w:rtl w:val="true"/>
        </w:rPr>
        <w:t xml:space="preserve">. </w:t>
      </w:r>
      <w:r>
        <w:rPr>
          <w:rtl w:val="true"/>
        </w:rPr>
        <w:t>כן נפגע ערך של שמירה על הסדר החברתי ובמסגרתו מניעה של הסלמת סכסוכים לכדי אירועים קטלניים</w:t>
      </w:r>
      <w:r>
        <w:rPr>
          <w:rtl w:val="true"/>
        </w:rPr>
        <w:t>.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rtl w:val="true"/>
        </w:rPr>
        <w:t>בעניין חומרתן של עבירות החזקת כלי נשק</w:t>
      </w:r>
      <w:r>
        <w:rPr>
          <w:rtl w:val="true"/>
        </w:rPr>
        <w:t xml:space="preserve">, </w:t>
      </w:r>
      <w:r>
        <w:rPr>
          <w:rtl w:val="true"/>
        </w:rPr>
        <w:t xml:space="preserve">אשר הפכו זה מכבר </w:t>
      </w:r>
      <w:r>
        <w:rPr>
          <w:rtl w:val="true"/>
        </w:rPr>
        <w:t>"</w:t>
      </w:r>
      <w:r>
        <w:rPr>
          <w:rtl w:val="true"/>
        </w:rPr>
        <w:t>למכת מדינה</w:t>
      </w:r>
      <w:r>
        <w:rPr>
          <w:rtl w:val="true"/>
        </w:rPr>
        <w:t xml:space="preserve">", </w:t>
      </w:r>
      <w:r>
        <w:rPr>
          <w:rtl w:val="true"/>
        </w:rPr>
        <w:t>יפים דברי בית המשפט העליון</w:t>
      </w:r>
      <w:r>
        <w:rPr>
          <w:rtl w:val="true"/>
        </w:rPr>
        <w:t>:</w:t>
      </w:r>
    </w:p>
    <w:p>
      <w:pPr>
        <w:pStyle w:val="Style13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למשל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3610/23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רמי גוהר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23.05.2024</w:t>
      </w:r>
      <w:r>
        <w:rPr>
          <w:rtl w:val="true"/>
        </w:rPr>
        <w:t xml:space="preserve">) </w:t>
      </w:r>
    </w:p>
    <w:p>
      <w:pPr>
        <w:pStyle w:val="Style15"/>
        <w:ind w:end="709"/>
        <w:jc w:val="both"/>
        <w:rPr/>
      </w:pPr>
      <w:r>
        <w:rPr>
          <w:rtl w:val="true"/>
        </w:rPr>
        <w:t>"</w:t>
      </w:r>
      <w:r>
        <w:rPr>
          <w:rtl w:val="true"/>
        </w:rPr>
        <w:t>בית משפט זה עמד פעמים רבות על החומרה היתרה שבעבירות נשק</w:t>
      </w:r>
      <w:r>
        <w:rPr>
          <w:rtl w:val="true"/>
        </w:rPr>
        <w:t xml:space="preserve">, </w:t>
      </w:r>
      <w:r>
        <w:rPr>
          <w:rtl w:val="true"/>
        </w:rPr>
        <w:t>בהן גלום פוטנציאל לפגיעה בחיי אדם וסיכון ביטחון הציבור</w:t>
      </w:r>
      <w:r>
        <w:rPr>
          <w:rtl w:val="true"/>
        </w:rPr>
        <w:t xml:space="preserve">. </w:t>
      </w:r>
      <w:r>
        <w:rPr>
          <w:rtl w:val="true"/>
        </w:rPr>
        <w:t xml:space="preserve">כפי שהזדמן לי לציין </w:t>
      </w:r>
      <w:r>
        <w:rPr>
          <w:rtl w:val="true"/>
        </w:rPr>
        <w:t>... "</w:t>
      </w:r>
      <w:r>
        <w:rPr>
          <w:rtl w:val="true"/>
        </w:rPr>
        <w:t>אין צורך להכביר במילים על אודות החומרה הנלווית לעבירות נשק</w:t>
      </w:r>
      <w:r>
        <w:rPr>
          <w:rtl w:val="true"/>
        </w:rPr>
        <w:t xml:space="preserve">. </w:t>
      </w:r>
      <w:r>
        <w:rPr>
          <w:rtl w:val="true"/>
        </w:rPr>
        <w:t>אין היום חולקין כי עבירות מסוג זה הפכו ל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 </w:t>
      </w:r>
      <w:r>
        <w:rPr>
          <w:rtl w:val="true"/>
        </w:rPr>
        <w:t xml:space="preserve">של ממש </w:t>
      </w:r>
      <w:r>
        <w:rPr>
          <w:rtl w:val="true"/>
        </w:rPr>
        <w:t xml:space="preserve">... </w:t>
      </w:r>
      <w:r>
        <w:rPr>
          <w:rtl w:val="true"/>
        </w:rPr>
        <w:t>מכה זו מצריכה מענה הולם בדמות ענישה מחמירה של הטלת עונשי מאסר משמעותיים</w:t>
      </w:r>
      <w:r>
        <w:rPr>
          <w:rtl w:val="true"/>
        </w:rPr>
        <w:t xml:space="preserve">. </w:t>
      </w:r>
      <w:r>
        <w:rPr>
          <w:rtl w:val="true"/>
        </w:rPr>
        <w:t>מצויים אנו לעת הזאת במצב חירום של ממש בעניין עבירות נשק</w:t>
      </w:r>
      <w:r>
        <w:rPr>
          <w:rtl w:val="true"/>
        </w:rPr>
        <w:t xml:space="preserve">, </w:t>
      </w:r>
      <w:r>
        <w:rPr>
          <w:rtl w:val="true"/>
        </w:rPr>
        <w:t>ולא בכדי נתקבל עתה תיקון ל</w:t>
      </w:r>
      <w:hyperlink r:id="rId1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 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) </w:t>
      </w:r>
      <w:r>
        <w:rPr>
          <w:rtl w:val="true"/>
        </w:rPr>
        <w:t>הקובע עונשי מינימום לעבירות נשק</w:t>
      </w:r>
      <w:r>
        <w:rPr>
          <w:rtl w:val="true"/>
        </w:rPr>
        <w:t xml:space="preserve">" ... </w:t>
      </w:r>
      <w:r>
        <w:rPr>
          <w:rtl w:val="true"/>
        </w:rPr>
        <w:t>דברים אלו נכונים היום על דרך קל וחומר</w:t>
      </w:r>
      <w:r>
        <w:rPr>
          <w:rtl w:val="true"/>
        </w:rPr>
        <w:t>."</w:t>
      </w:r>
    </w:p>
    <w:p>
      <w:pPr>
        <w:pStyle w:val="Style13"/>
        <w:ind w:end="0"/>
        <w:jc w:val="both"/>
        <w:rPr>
          <w:color w:val="000000"/>
        </w:rPr>
      </w:pPr>
      <w:r>
        <w:rPr>
          <w:rtl w:val="true"/>
        </w:rPr>
        <w:t>וכן 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5681/23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נח חווא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 ישראל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נבו </w:t>
      </w:r>
      <w:r>
        <w:rPr>
          <w:color w:val="000000"/>
        </w:rPr>
        <w:t>20.12.2023</w:t>
      </w:r>
      <w:r>
        <w:rPr>
          <w:color w:val="000000"/>
          <w:rtl w:val="true"/>
        </w:rPr>
        <w:t xml:space="preserve">) </w:t>
      </w:r>
    </w:p>
    <w:p>
      <w:pPr>
        <w:pStyle w:val="Style15"/>
        <w:ind w:end="709"/>
        <w:jc w:val="both"/>
        <w:rPr/>
      </w:pPr>
      <w:r>
        <w:rPr>
          <w:rtl w:val="true"/>
        </w:rPr>
        <w:t>"</w:t>
      </w:r>
      <w:r>
        <w:rPr>
          <w:rtl w:val="true"/>
        </w:rPr>
        <w:t>בית משפט זה שב ומתריע השכם והערב על חומרתן של עבירות הנשק בחברה הישראלית בכלל</w:t>
      </w:r>
      <w:r>
        <w:rPr>
          <w:rtl w:val="true"/>
        </w:rPr>
        <w:t xml:space="preserve">, </w:t>
      </w:r>
      <w:r>
        <w:rPr>
          <w:rtl w:val="true"/>
        </w:rPr>
        <w:t xml:space="preserve">ובמגזר הערבי בפרט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 קואסמה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; </w:t>
      </w:r>
      <w:r>
        <w:rPr>
          <w:rtl w:val="true"/>
        </w:rPr>
        <w:t>עניין אבו עבסה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עבירות אלו מגלמות סיכון רבתי לשלום הציבור</w:t>
      </w:r>
      <w:r>
        <w:rPr>
          <w:rtl w:val="true"/>
        </w:rPr>
        <w:t xml:space="preserve">, </w:t>
      </w:r>
      <w:r>
        <w:rPr>
          <w:rtl w:val="true"/>
        </w:rPr>
        <w:t>לביטחונו ולסדר החברתי</w:t>
      </w:r>
      <w:r>
        <w:rPr>
          <w:rtl w:val="true"/>
        </w:rPr>
        <w:t xml:space="preserve">, </w:t>
      </w:r>
      <w:r>
        <w:rPr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tl w:val="true"/>
        </w:rPr>
        <w:t>(</w:t>
      </w:r>
      <w:r>
        <w:rPr>
          <w:rtl w:val="true"/>
        </w:rPr>
        <w:t>עניין נורי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בהתאם לכך ולנוכח ריבוי מקרי הירי</w:t>
      </w:r>
      <w:r>
        <w:rPr>
          <w:rtl w:val="true"/>
        </w:rPr>
        <w:t xml:space="preserve">, </w:t>
      </w:r>
      <w:r>
        <w:rPr>
          <w:rtl w:val="true"/>
        </w:rPr>
        <w:t>יש לנקוט במדיניות ענישה מחמירה בגין ביצוע עבירות נשק</w:t>
      </w:r>
      <w:r>
        <w:rPr>
          <w:rtl w:val="true"/>
        </w:rPr>
        <w:t xml:space="preserve">, </w:t>
      </w:r>
      <w:r>
        <w:rPr>
          <w:rtl w:val="true"/>
        </w:rPr>
        <w:t>החל מיצרני או מבריחי הנשק הבלתי חוקי</w:t>
      </w:r>
      <w:r>
        <w:rPr>
          <w:rtl w:val="true"/>
        </w:rPr>
        <w:t xml:space="preserve">, </w:t>
      </w:r>
      <w:r>
        <w:rPr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tl w:val="true"/>
        </w:rPr>
        <w:t xml:space="preserve">.  </w:t>
      </w:r>
      <w:r>
        <w:rPr>
          <w:rtl w:val="true"/>
        </w:rPr>
        <w:t>ואמנם ניכרת בשנים האחרונות מגמת החמרה בענישה לשם מיגור עבירות אלו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Style13"/>
        <w:ind w:end="0"/>
        <w:jc w:val="both"/>
        <w:rPr/>
      </w:pPr>
      <w:r>
        <w:rPr>
          <w:rtl w:val="true"/>
        </w:rPr>
        <w:t>וגם 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 סובח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05.11.2019</w:t>
      </w:r>
      <w:r>
        <w:rPr>
          <w:rtl w:val="true"/>
        </w:rPr>
        <w:t xml:space="preserve">) </w:t>
      </w:r>
    </w:p>
    <w:p>
      <w:pPr>
        <w:pStyle w:val="Style15"/>
        <w:ind w:end="709"/>
        <w:jc w:val="both"/>
        <w:rPr/>
      </w:pPr>
      <w:r>
        <w:rPr>
          <w:rtl w:val="true"/>
        </w:rPr>
        <w:t>"</w:t>
      </w:r>
      <w:r>
        <w:rPr>
          <w:rtl w:val="true"/>
        </w:rPr>
        <w:t>המאבק בתופעות האלימות החמורות בחברה הישראלית בהן נעשה שימוש בנשק מחייב</w:t>
      </w:r>
      <w:r>
        <w:rPr>
          <w:rtl w:val="true"/>
        </w:rPr>
        <w:t xml:space="preserve">, </w:t>
      </w:r>
      <w:r>
        <w:rPr>
          <w:rtl w:val="true"/>
        </w:rPr>
        <w:t xml:space="preserve">מעבר למאמץ </w:t>
      </w:r>
      <w:r>
        <w:rPr>
          <w:rtl w:val="true"/>
        </w:rPr>
        <w:t>"</w:t>
      </w:r>
      <w:r>
        <w:rPr>
          <w:rtl w:val="true"/>
        </w:rPr>
        <w:t>לשים יד</w:t>
      </w:r>
      <w:r>
        <w:rPr>
          <w:rtl w:val="true"/>
        </w:rPr>
        <w:t xml:space="preserve">" </w:t>
      </w:r>
      <w:r>
        <w:rPr>
          <w:rtl w:val="true"/>
        </w:rPr>
        <w:t>על כלי הנשק הבלתי חוקיים הרבים שבידי הציבור</w:t>
      </w:r>
      <w:r>
        <w:rPr>
          <w:rtl w:val="true"/>
        </w:rPr>
        <w:t xml:space="preserve">, </w:t>
      </w:r>
      <w:r>
        <w:rPr>
          <w:rtl w:val="true"/>
        </w:rPr>
        <w:t>גם ענישה מחמירה ומרתיעה בעבירות נשק</w:t>
      </w:r>
      <w:r>
        <w:rPr>
          <w:rtl w:val="true"/>
        </w:rPr>
        <w:t xml:space="preserve">, </w:t>
      </w:r>
      <w:r>
        <w:rPr>
          <w:rtl w:val="true"/>
        </w:rPr>
        <w:t>לרבות על עצם החזקה או רכישה שלא כדין של נשק</w:t>
      </w:r>
      <w:r>
        <w:rPr>
          <w:rtl w:val="true"/>
        </w:rPr>
        <w:t xml:space="preserve">. </w:t>
      </w:r>
      <w:r>
        <w:rPr>
          <w:rtl w:val="true"/>
        </w:rPr>
        <w:t xml:space="preserve">אזכיר כי המחוקק ביטא את גישתו המחמירה לתופעה זו כאשר קבע עונשים מחמירים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על רכישה או החזקה של נשק בלא רשות על פי דין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על נשיאה או הובלה של נשק בלא רשות על פי דין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על ייצור</w:t>
      </w:r>
      <w:r>
        <w:rPr>
          <w:rtl w:val="true"/>
        </w:rPr>
        <w:t xml:space="preserve">, </w:t>
      </w:r>
      <w:r>
        <w:rPr>
          <w:rtl w:val="true"/>
        </w:rPr>
        <w:t xml:space="preserve">יבוא או סחר בנשק בלא רשות על פי דין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); </w:t>
      </w:r>
      <w:r>
        <w:rPr>
          <w:rtl w:val="true"/>
        </w:rPr>
        <w:t>זאת אף בלא שנעשה בנשק שימוש לביצוע עבירה נוספת</w:t>
      </w:r>
      <w:r>
        <w:rPr>
          <w:rtl w:val="true"/>
        </w:rPr>
        <w:t>."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rtl w:val="true"/>
        </w:rPr>
        <w:t>מדיניות הענישה הנוהגת</w:t>
      </w:r>
      <w:r>
        <w:rPr>
          <w:rtl w:val="true"/>
        </w:rPr>
        <w:t xml:space="preserve">: </w:t>
      </w:r>
    </w:p>
    <w:p>
      <w:pPr>
        <w:pStyle w:val="Style16"/>
        <w:numPr>
          <w:ilvl w:val="0"/>
          <w:numId w:val="4"/>
        </w:numPr>
        <w:ind w:hanging="360" w:end="0"/>
        <w:jc w:val="start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1806/22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עאדל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15.06.2022</w:t>
      </w:r>
      <w:r>
        <w:rPr>
          <w:rtl w:val="true"/>
        </w:rPr>
        <w:t>)</w:t>
      </w:r>
    </w:p>
    <w:p>
      <w:pPr>
        <w:pStyle w:val="-"/>
        <w:ind w:end="0"/>
        <w:jc w:val="both"/>
        <w:rPr/>
      </w:pPr>
      <w:r>
        <w:rPr>
          <w:rtl w:val="true"/>
        </w:rPr>
        <w:t xml:space="preserve">הנאשם הורשע על פי הודאתו בהחזקת נשק ותחמושת בכך שהחזיק ברכב אקדח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טעון במחסנית ובה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המתחם שנקבע בבית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 xml:space="preserve">המשפט המחוזי נע בין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נגזרו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במסגרת ערעורו</w:t>
      </w:r>
      <w:r>
        <w:rPr>
          <w:rtl w:val="true"/>
        </w:rPr>
        <w:t xml:space="preserve">, </w:t>
      </w:r>
      <w:r>
        <w:rPr>
          <w:rtl w:val="true"/>
        </w:rPr>
        <w:t>מצא בית</w:t>
      </w:r>
      <w:r>
        <w:rPr>
          <w:rtl w:val="true"/>
        </w:rPr>
        <w:t>-</w:t>
      </w:r>
      <w:r>
        <w:rPr>
          <w:rtl w:val="true"/>
        </w:rPr>
        <w:t>המשפט העליון כי יש מקום להקלה מסוימת וגזר דינו 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Style16"/>
        <w:numPr>
          <w:ilvl w:val="0"/>
          <w:numId w:val="4"/>
        </w:numPr>
        <w:ind w:hanging="360" w:end="0"/>
        <w:jc w:val="start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6265/20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אלקיעאן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15.09.2020</w:t>
      </w:r>
      <w:r>
        <w:rPr>
          <w:rtl w:val="true"/>
        </w:rPr>
        <w:t>)</w:t>
      </w:r>
    </w:p>
    <w:p>
      <w:pPr>
        <w:pStyle w:val="-"/>
        <w:ind w:end="0"/>
        <w:jc w:val="both"/>
        <w:rPr/>
      </w:pPr>
      <w:r>
        <w:rPr>
          <w:rtl w:val="true"/>
        </w:rPr>
        <w:t>הנאשם הורשע לאחר שמיעת ראיות בהחזקת נשק ותחמושת</w:t>
      </w:r>
      <w:r>
        <w:rPr>
          <w:rtl w:val="true"/>
        </w:rPr>
        <w:t xml:space="preserve">, </w:t>
      </w:r>
      <w:r>
        <w:rPr>
          <w:rtl w:val="true"/>
        </w:rPr>
        <w:t>בכך שהחזיק מתחת לכיסא הנהג ברכבו אקדח מסוג ברטה בצירוף מחסנית ובה כדורים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המתחם שנקבע נע בין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בהעדר עבר פלילי ושלל נסיבות מקלות</w:t>
      </w:r>
      <w:r>
        <w:rPr>
          <w:rtl w:val="true"/>
        </w:rPr>
        <w:t xml:space="preserve">, </w:t>
      </w:r>
      <w:r>
        <w:rPr>
          <w:rtl w:val="true"/>
        </w:rPr>
        <w:t>נדון הנאשם 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המשפט המחוזי קיבל לידיו תסקיר נוסף ולפנים משורת הדין הקל את עונשו של הנאשם לכדי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בקשת הרשות לערעור נדחתה</w:t>
      </w:r>
      <w:r>
        <w:rPr>
          <w:rtl w:val="true"/>
        </w:rPr>
        <w:t>.</w:t>
      </w:r>
    </w:p>
    <w:p>
      <w:pPr>
        <w:pStyle w:val="Style16"/>
        <w:numPr>
          <w:ilvl w:val="0"/>
          <w:numId w:val="4"/>
        </w:numPr>
        <w:ind w:hanging="360" w:end="0"/>
        <w:jc w:val="start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2919/22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 שעבאן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01.08.2022</w:t>
      </w:r>
      <w:r>
        <w:rPr>
          <w:rtl w:val="true"/>
        </w:rPr>
        <w:t>)</w:t>
      </w:r>
    </w:p>
    <w:p>
      <w:pPr>
        <w:pStyle w:val="-"/>
        <w:ind w:end="0"/>
        <w:jc w:val="both"/>
        <w:rPr/>
      </w:pPr>
      <w:r>
        <w:rPr>
          <w:rtl w:val="true"/>
        </w:rPr>
        <w:t>הנאשם הורשע לאחר שמיעת ראיות בעבירות החזקת נשק ותחמושת ושיבוש הליכי משפט</w:t>
      </w:r>
      <w:r>
        <w:rPr>
          <w:rtl w:val="true"/>
        </w:rPr>
        <w:t xml:space="preserve">, </w:t>
      </w:r>
      <w:r>
        <w:rPr>
          <w:rtl w:val="true"/>
        </w:rPr>
        <w:t xml:space="preserve">בכך שהבחין בכוח משטרה והשליך אקדח טעון מסוג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>עם מחסנית ו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המתחם שנקבע נע בין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בשל עבר פלילי מכביד נדון הנאשם 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המחוזי הקל את עונשו של הנאשם 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בין היתר בשל כך שכניסת השוטרים לביתו של הנאשם בוצעה שלא כדין</w:t>
      </w:r>
      <w:r>
        <w:rPr>
          <w:rtl w:val="true"/>
        </w:rPr>
        <w:t xml:space="preserve">. </w:t>
      </w:r>
      <w:r>
        <w:rPr>
          <w:rtl w:val="true"/>
        </w:rPr>
        <w:t>בקשת הרשות לערעור נדחתה</w:t>
      </w:r>
      <w:r>
        <w:rPr>
          <w:rtl w:val="true"/>
        </w:rPr>
        <w:t>.</w:t>
      </w:r>
    </w:p>
    <w:p>
      <w:pPr>
        <w:pStyle w:val="-"/>
        <w:ind w:end="0"/>
        <w:jc w:val="both"/>
        <w:rPr/>
      </w:pPr>
      <w:r>
        <w:rPr>
          <w:rtl w:val="true"/>
        </w:rPr>
      </w:r>
    </w:p>
    <w:p>
      <w:pPr>
        <w:pStyle w:val="-"/>
        <w:ind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4"/>
        </w:numPr>
        <w:ind w:hanging="360" w:end="0"/>
        <w:jc w:val="start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25.08.2020</w:t>
      </w:r>
      <w:r>
        <w:rPr>
          <w:rtl w:val="true"/>
        </w:rPr>
        <w:t>)</w:t>
      </w:r>
    </w:p>
    <w:p>
      <w:pPr>
        <w:pStyle w:val="-"/>
        <w:ind w:end="0"/>
        <w:jc w:val="both"/>
        <w:rPr/>
      </w:pPr>
      <w:r>
        <w:rPr>
          <w:rtl w:val="true"/>
        </w:rPr>
        <w:t>הנאשם הורשע על פי הודאתו בעבירות החזקת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בכך שהחזיק במקום מגוריו אקדח מסוג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 בקוטר זהה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המתחם שנקבע נע בין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בשל שלל נסיבות מקלות</w:t>
      </w:r>
      <w:r>
        <w:rPr>
          <w:rtl w:val="true"/>
        </w:rPr>
        <w:t xml:space="preserve">, </w:t>
      </w:r>
      <w:r>
        <w:rPr>
          <w:rtl w:val="true"/>
        </w:rPr>
        <w:t>נדון הנאשם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הן הערעור והן בקשת הרשות לערעור נדחו</w:t>
      </w:r>
      <w:r>
        <w:rPr>
          <w:rtl w:val="true"/>
        </w:rPr>
        <w:t>.</w:t>
      </w:r>
    </w:p>
    <w:p>
      <w:pPr>
        <w:pStyle w:val="Style16"/>
        <w:numPr>
          <w:ilvl w:val="0"/>
          <w:numId w:val="4"/>
        </w:numPr>
        <w:ind w:hanging="360" w:end="0"/>
        <w:jc w:val="start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3278/23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ולדיסלב מיכאלוב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02.05.2023</w:t>
      </w:r>
      <w:r>
        <w:rPr>
          <w:rtl w:val="true"/>
        </w:rPr>
        <w:t>)</w:t>
      </w:r>
    </w:p>
    <w:p>
      <w:pPr>
        <w:pStyle w:val="-"/>
        <w:ind w:end="0"/>
        <w:jc w:val="both"/>
        <w:rPr/>
      </w:pPr>
      <w:r>
        <w:rPr>
          <w:rtl w:val="true"/>
        </w:rPr>
        <w:t>הנאשם הורשע על פי הודאתו בעבירות החזקת נשק ובהחזקת סמים של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 xml:space="preserve">בכך שהחזיק במחסן אקדח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עם כדור טעון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 נוספים במחסנית 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 נוספים</w:t>
      </w:r>
      <w:r>
        <w:rPr>
          <w:rtl w:val="true"/>
        </w:rPr>
        <w:t xml:space="preserve">. </w:t>
      </w:r>
      <w:r>
        <w:rPr>
          <w:rtl w:val="true"/>
        </w:rPr>
        <w:t>ובנוסף נתפסו למעלה מ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גרם קנביס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המתחם הנפרד להחזקת הנשק נע בין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והמתחם לעבירת הסמים נע בין מאסר מותנה 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חרגה ממתחם העונש משיקולי שיקום וגזרה על הנאשם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עבודות שירות</w:t>
      </w:r>
      <w:r>
        <w:rPr>
          <w:rtl w:val="true"/>
        </w:rPr>
        <w:t xml:space="preserve">. </w:t>
      </w:r>
      <w:r>
        <w:rPr>
          <w:rtl w:val="true"/>
        </w:rPr>
        <w:t>ערעור המדינה התקבל והנאשם נדון 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בשל אי מיצוי הדין</w:t>
      </w:r>
      <w:r>
        <w:rPr>
          <w:rtl w:val="true"/>
        </w:rPr>
        <w:t xml:space="preserve">. </w:t>
      </w:r>
      <w:r>
        <w:rPr>
          <w:rtl w:val="true"/>
        </w:rPr>
        <w:t>בקשת רשות הערעור נדחתה</w:t>
      </w:r>
      <w:r>
        <w:rPr>
          <w:rtl w:val="true"/>
        </w:rPr>
        <w:t>.</w:t>
      </w:r>
    </w:p>
    <w:p>
      <w:pPr>
        <w:pStyle w:val="Style16"/>
        <w:numPr>
          <w:ilvl w:val="0"/>
          <w:numId w:val="4"/>
        </w:numPr>
        <w:ind w:hanging="360" w:end="0"/>
        <w:jc w:val="start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50590-12-22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באדר אלסייד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20.03.2023</w:t>
      </w:r>
      <w:r>
        <w:rPr>
          <w:rtl w:val="true"/>
        </w:rPr>
        <w:t>)</w:t>
      </w:r>
    </w:p>
    <w:p>
      <w:pPr>
        <w:pStyle w:val="-"/>
        <w:ind w:end="0"/>
        <w:jc w:val="both"/>
        <w:rPr/>
      </w:pPr>
      <w:r>
        <w:rPr>
          <w:rtl w:val="true"/>
        </w:rPr>
        <w:t>הנאשם הורשע על פי הודאתו בהחזקת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בכך שהחזיק במחסן הסמוך לביתו אקדח </w:t>
      </w:r>
      <w:r>
        <w:rPr/>
        <w:t>TAURUS</w:t>
      </w:r>
      <w:r>
        <w:rPr>
          <w:rtl w:val="true"/>
        </w:rPr>
        <w:t xml:space="preserve"> </w:t>
      </w:r>
      <w:r>
        <w:rPr>
          <w:rtl w:val="true"/>
        </w:rPr>
        <w:t xml:space="preserve">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ומחסנית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המתחם שנקבע נע בין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בשל נסיבות מקלות</w:t>
      </w:r>
      <w:r>
        <w:rPr>
          <w:rtl w:val="true"/>
        </w:rPr>
        <w:t xml:space="preserve">, </w:t>
      </w:r>
      <w:r>
        <w:rPr>
          <w:rtl w:val="true"/>
        </w:rPr>
        <w:t>נדון הנאשם 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בדחיית ערעורו של הנאשם</w:t>
      </w:r>
      <w:r>
        <w:rPr>
          <w:rtl w:val="true"/>
        </w:rPr>
        <w:t xml:space="preserve">, </w:t>
      </w:r>
      <w:r>
        <w:rPr>
          <w:rtl w:val="true"/>
        </w:rPr>
        <w:t>ציין בית</w:t>
      </w:r>
      <w:r>
        <w:rPr>
          <w:rtl w:val="true"/>
        </w:rPr>
        <w:t>-</w:t>
      </w:r>
      <w:r>
        <w:rPr>
          <w:rtl w:val="true"/>
        </w:rPr>
        <w:t>המשפט המחוזי כי מתחם העונש שנקבע מתאים לנסיבות וכי הענישה הסופית מקלה עם המערער</w:t>
      </w:r>
      <w:r>
        <w:rPr>
          <w:rtl w:val="true"/>
        </w:rPr>
        <w:t>.</w:t>
      </w:r>
    </w:p>
    <w:p>
      <w:pPr>
        <w:pStyle w:val="Style16"/>
        <w:numPr>
          <w:ilvl w:val="0"/>
          <w:numId w:val="4"/>
        </w:numPr>
        <w:ind w:hanging="360" w:end="0"/>
        <w:jc w:val="start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25700-08-22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זהר אלבחירי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07.12.2022</w:t>
      </w:r>
      <w:r>
        <w:rPr>
          <w:rtl w:val="true"/>
        </w:rPr>
        <w:t>)</w:t>
      </w:r>
    </w:p>
    <w:p>
      <w:pPr>
        <w:pStyle w:val="-"/>
        <w:ind w:end="0"/>
        <w:jc w:val="both"/>
        <w:rPr/>
      </w:pPr>
      <w:r>
        <w:rPr>
          <w:rtl w:val="true"/>
        </w:rPr>
        <w:t>הנאשם הורשע על פי הודאתו בהחזקת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בכך שהחזיק בקופסת מתכת מעל ארונות המטבח באקדח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עם שתי מחסניות ו</w:t>
      </w:r>
      <w:r>
        <w:rPr>
          <w:rtl w:val="true"/>
        </w:rPr>
        <w:t>-</w:t>
      </w:r>
      <w:r>
        <w:rPr/>
        <w:t>213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המתחם שנקבע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בשל שיקולי הרתעה וחרף היעדר עבר 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נדון הנאשם 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בדחותו את הערעור העיר בית</w:t>
      </w:r>
      <w:r>
        <w:rPr>
          <w:rtl w:val="true"/>
        </w:rPr>
        <w:t>-</w:t>
      </w:r>
      <w:r>
        <w:rPr>
          <w:rtl w:val="true"/>
        </w:rPr>
        <w:t>המשפט המחוזי</w:t>
      </w:r>
      <w:r>
        <w:rPr>
          <w:rtl w:val="true"/>
        </w:rPr>
        <w:t>:</w:t>
      </w:r>
    </w:p>
    <w:p>
      <w:pPr>
        <w:pStyle w:val="Style15"/>
        <w:ind w:end="709"/>
        <w:jc w:val="both"/>
        <w:rPr/>
      </w:pPr>
      <w:r>
        <w:rPr>
          <w:rtl w:val="true"/>
        </w:rPr>
        <w:t>"</w:t>
      </w:r>
      <w:r>
        <w:rPr>
          <w:rtl w:val="true"/>
        </w:rPr>
        <w:t>בהערה נוסיף ונציין</w:t>
      </w:r>
      <w:r>
        <w:rPr>
          <w:rtl w:val="true"/>
        </w:rPr>
        <w:t xml:space="preserve">, </w:t>
      </w:r>
      <w:r>
        <w:rPr>
          <w:rtl w:val="true"/>
        </w:rPr>
        <w:t>כי יש ממש בטענת ב</w:t>
      </w:r>
      <w:r>
        <w:rPr>
          <w:rtl w:val="true"/>
        </w:rPr>
        <w:t>"</w:t>
      </w:r>
      <w:r>
        <w:rPr>
          <w:rtl w:val="true"/>
        </w:rPr>
        <w:t>כ המשיבה ולפיה</w:t>
      </w:r>
      <w:r>
        <w:rPr>
          <w:rtl w:val="true"/>
        </w:rPr>
        <w:t xml:space="preserve">, </w:t>
      </w:r>
      <w:r>
        <w:rPr>
          <w:rtl w:val="true"/>
        </w:rPr>
        <w:t>אם בכלל נפלה שגגה בעת קביעת המתחם</w:t>
      </w:r>
      <w:r>
        <w:rPr>
          <w:rtl w:val="true"/>
        </w:rPr>
        <w:t xml:space="preserve">, </w:t>
      </w:r>
      <w:r>
        <w:rPr>
          <w:rtl w:val="true"/>
        </w:rPr>
        <w:t>היה זה עת נקבע כי תחתית המתחם תחל 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ולא למעלה מכך</w:t>
      </w:r>
      <w:r>
        <w:rPr>
          <w:rtl w:val="true"/>
        </w:rPr>
        <w:t>."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rtl w:val="true"/>
        </w:rPr>
        <w:t>יש לזכור כי מדיניות הענישה הנהוגה הינה אך חלק ממכלול השיקולים הנשקלים בבואו של בית</w:t>
      </w:r>
      <w:r>
        <w:rPr>
          <w:rtl w:val="true"/>
        </w:rPr>
        <w:t>-</w:t>
      </w:r>
      <w:r>
        <w:rPr>
          <w:rtl w:val="true"/>
        </w:rPr>
        <w:t>המשפט לקבוע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זאת לצד מידת הפגיעה בערכים החברתיים המוגנים ונסיבות הקשורות בביצוע העבירה</w:t>
      </w:r>
      <w:r>
        <w:rPr>
          <w:rtl w:val="true"/>
        </w:rPr>
        <w:t>.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rtl w:val="true"/>
        </w:rPr>
        <w:t xml:space="preserve">בבחינת נסיבות הקשורות בביצוע העבירה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ט</w:t>
        </w:r>
      </w:hyperlink>
      <w:r>
        <w:rPr>
          <w:rtl w:val="true"/>
        </w:rPr>
        <w:t xml:space="preserve"> ל</w:t>
      </w:r>
      <w:hyperlink r:id="rId2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נשקלו הבאים</w:t>
      </w:r>
      <w:r>
        <w:rPr>
          <w:rtl w:val="true"/>
        </w:rPr>
        <w:t>:</w:t>
      </w:r>
    </w:p>
    <w:p>
      <w:pPr>
        <w:pStyle w:val="Style13"/>
        <w:ind w:end="0"/>
        <w:jc w:val="both"/>
        <w:rPr>
          <w:u w:val="single"/>
        </w:rPr>
      </w:pPr>
      <w:r>
        <w:rPr>
          <w:u w:val="single"/>
          <w:rtl w:val="true"/>
        </w:rPr>
        <w:t>תכנון  שקדם לביצוע העבירה</w:t>
      </w:r>
      <w:r>
        <w:rPr>
          <w:u w:val="single"/>
          <w:rtl w:val="true"/>
        </w:rPr>
        <w:t>:</w:t>
      </w:r>
    </w:p>
    <w:p>
      <w:pPr>
        <w:pStyle w:val="Style13"/>
        <w:ind w:end="0"/>
        <w:jc w:val="both"/>
        <w:rPr/>
      </w:pPr>
      <w:r>
        <w:rPr>
          <w:rtl w:val="true"/>
        </w:rPr>
        <w:t>החזקת אקדח ומחסניות עם תחמושת מצריכה פעולה מקדימה ומחושבת</w:t>
      </w:r>
      <w:r>
        <w:rPr>
          <w:rtl w:val="true"/>
        </w:rPr>
        <w:t xml:space="preserve">, </w:t>
      </w:r>
      <w:r>
        <w:rPr>
          <w:rtl w:val="true"/>
        </w:rPr>
        <w:t>בין אם על ידי רכישתם בדרכים עקלקלות ובין אם בקבלתם באופן אחר</w:t>
      </w:r>
      <w:r>
        <w:rPr>
          <w:rtl w:val="true"/>
        </w:rPr>
        <w:t xml:space="preserve">, </w:t>
      </w:r>
      <w:r>
        <w:rPr>
          <w:rtl w:val="true"/>
        </w:rPr>
        <w:t>וכן השקעת תשומות ומחשבה גם ביחס למקום החזקתם</w:t>
      </w:r>
      <w:r>
        <w:rPr>
          <w:rtl w:val="true"/>
        </w:rPr>
        <w:t xml:space="preserve">. </w:t>
      </w:r>
      <w:r>
        <w:rPr>
          <w:rtl w:val="true"/>
        </w:rPr>
        <w:t>הנאשם החזיק את הנשק והמחסניות במשך מספר חודשים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u w:val="single"/>
          <w:rtl w:val="true"/>
        </w:rPr>
        <w:t>נזק שנגרם מביצוע העבירה והנזק הפוטנציאלי שלצידה</w:t>
      </w:r>
      <w:r>
        <w:rPr>
          <w:rtl w:val="true"/>
        </w:rPr>
        <w:t xml:space="preserve">: </w:t>
      </w:r>
    </w:p>
    <w:p>
      <w:pPr>
        <w:pStyle w:val="Style13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לא נגרם כל נזק </w:t>
      </w:r>
      <w:r>
        <w:rPr>
          <w:rtl w:val="true"/>
        </w:rPr>
        <w:t>(</w:t>
      </w:r>
      <w:r>
        <w:rPr>
          <w:rtl w:val="true"/>
        </w:rPr>
        <w:t>ידוע</w:t>
      </w:r>
      <w:r>
        <w:rPr>
          <w:rtl w:val="true"/>
        </w:rPr>
        <w:t xml:space="preserve">) </w:t>
      </w:r>
      <w:r>
        <w:rPr>
          <w:rtl w:val="true"/>
        </w:rPr>
        <w:t>מהחזקת הנשק בפועל</w:t>
      </w:r>
      <w:r>
        <w:rPr>
          <w:rtl w:val="true"/>
        </w:rPr>
        <w:t xml:space="preserve">. </w:t>
      </w:r>
      <w:r>
        <w:rPr>
          <w:rtl w:val="true"/>
        </w:rPr>
        <w:t>אולם אין כל ספק שפוטנציאל הנזק הוא עצום</w:t>
      </w:r>
      <w:r>
        <w:rPr>
          <w:rtl w:val="true"/>
        </w:rPr>
        <w:t xml:space="preserve">, </w:t>
      </w:r>
      <w:r>
        <w:rPr>
          <w:rtl w:val="true"/>
        </w:rPr>
        <w:t>החל מביצוע עבירות פליליות באמצעות האקדח</w:t>
      </w:r>
      <w:r>
        <w:rPr>
          <w:rtl w:val="true"/>
        </w:rPr>
        <w:t xml:space="preserve">, </w:t>
      </w:r>
      <w:r>
        <w:rPr>
          <w:rtl w:val="true"/>
        </w:rPr>
        <w:t>וכלה באובדן חיי אדם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הנאשם החזיק באקדח טעון במחסנית תואמת</w:t>
      </w:r>
      <w:r>
        <w:rPr>
          <w:rtl w:val="true"/>
        </w:rPr>
        <w:t xml:space="preserve">, </w:t>
      </w:r>
      <w:r>
        <w:rPr>
          <w:rtl w:val="true"/>
        </w:rPr>
        <w:t xml:space="preserve">ובמחסנית נוספת עם כדורים </w:t>
      </w:r>
      <w:r>
        <w:rPr>
          <w:rtl w:val="true"/>
        </w:rPr>
        <w:t>"</w:t>
      </w:r>
      <w:r>
        <w:rPr>
          <w:rtl w:val="true"/>
        </w:rPr>
        <w:t>בהיכון</w:t>
      </w:r>
      <w:r>
        <w:rPr>
          <w:rtl w:val="true"/>
        </w:rPr>
        <w:t>".</w:t>
      </w:r>
    </w:p>
    <w:p>
      <w:pPr>
        <w:pStyle w:val="Style13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לענין פוטנציאל הנזק הדברים במסגרת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 סובח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05.11.2019</w:t>
      </w:r>
      <w:r>
        <w:rPr>
          <w:rtl w:val="true"/>
        </w:rPr>
        <w:t xml:space="preserve">) </w:t>
      </w:r>
    </w:p>
    <w:p>
      <w:pPr>
        <w:pStyle w:val="Style15"/>
        <w:ind w:end="709"/>
        <w:jc w:val="both"/>
        <w:rPr/>
      </w:pPr>
      <w:r>
        <w:rPr>
          <w:rtl w:val="true"/>
        </w:rPr>
        <w:t>"</w:t>
      </w:r>
      <w:r>
        <w:rPr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tl w:val="true"/>
        </w:rPr>
        <w:t xml:space="preserve">. </w:t>
      </w:r>
      <w:r>
        <w:rPr>
          <w:rtl w:val="true"/>
        </w:rPr>
        <w:t>היא התשתית ו</w:t>
      </w:r>
      <w:r>
        <w:rPr>
          <w:rtl w:val="true"/>
        </w:rPr>
        <w:t>"</w:t>
      </w:r>
      <w:r>
        <w:rPr>
          <w:rtl w:val="true"/>
        </w:rPr>
        <w:t>הגורם בלעדו איין</w:t>
      </w:r>
      <w:r>
        <w:rPr>
          <w:rtl w:val="true"/>
        </w:rPr>
        <w:t>" (</w:t>
      </w:r>
      <w:r>
        <w:rPr/>
        <w:t>causa sine qua non</w:t>
      </w:r>
      <w:r>
        <w:rPr>
          <w:rtl w:val="true"/>
        </w:rPr>
        <w:t xml:space="preserve">) </w:t>
      </w:r>
      <w:r>
        <w:rPr>
          <w:rtl w:val="true"/>
        </w:rPr>
        <w:t>למגוון רחב של עבירות</w:t>
      </w:r>
      <w:r>
        <w:rPr>
          <w:rtl w:val="true"/>
        </w:rPr>
        <w:t xml:space="preserve">, </w:t>
      </w:r>
      <w:r>
        <w:rPr>
          <w:rtl w:val="true"/>
        </w:rPr>
        <w:t>החל בעבירות איומים ושוד מזוין</w:t>
      </w:r>
      <w:r>
        <w:rPr>
          <w:rtl w:val="true"/>
        </w:rPr>
        <w:t xml:space="preserve">, </w:t>
      </w:r>
      <w:r>
        <w:rPr>
          <w:rtl w:val="true"/>
        </w:rPr>
        <w:t>המשך בעבירות גרימת חבלה חמורה וכלה בעבירות המתה</w:t>
      </w:r>
      <w:r>
        <w:rPr>
          <w:rtl w:val="true"/>
        </w:rPr>
        <w:t xml:space="preserve">. </w:t>
      </w:r>
      <w:r>
        <w:rPr>
          <w:rtl w:val="true"/>
        </w:rPr>
        <w:t>לעתים קרובות הנשק הבלתי חוקי נרכש מלכתחילה למטרות עבירה</w:t>
      </w:r>
      <w:r>
        <w:rPr>
          <w:rtl w:val="true"/>
        </w:rPr>
        <w:t xml:space="preserve">, </w:t>
      </w:r>
      <w:r>
        <w:rPr>
          <w:rtl w:val="true"/>
        </w:rPr>
        <w:t xml:space="preserve">ואף אם הנשק נרכש למטרות </w:t>
      </w:r>
      <w:r>
        <w:rPr>
          <w:rtl w:val="true"/>
        </w:rPr>
        <w:t>"</w:t>
      </w:r>
      <w:r>
        <w:rPr>
          <w:rtl w:val="true"/>
        </w:rPr>
        <w:t>הגנה עצמית</w:t>
      </w:r>
      <w:r>
        <w:rPr>
          <w:rtl w:val="true"/>
        </w:rPr>
        <w:t xml:space="preserve">", </w:t>
      </w:r>
      <w:r>
        <w:rPr>
          <w:rtl w:val="true"/>
        </w:rPr>
        <w:t>הזמינות של הנשק מעודדת את השימוש בו לביצוע עבירות שונות ולחרפת תוצאותיהן</w:t>
      </w:r>
      <w:r>
        <w:rPr>
          <w:rtl w:val="true"/>
        </w:rPr>
        <w:t>."</w:t>
      </w:r>
    </w:p>
    <w:p>
      <w:pPr>
        <w:pStyle w:val="Style13"/>
        <w:ind w:end="0"/>
        <w:jc w:val="both"/>
        <w:rPr/>
      </w:pPr>
      <w:r>
        <w:rPr>
          <w:u w:val="single"/>
          <w:rtl w:val="true"/>
        </w:rPr>
        <w:t>הסיבות שהביאו את הנאשם לבצע את העבירה</w:t>
      </w:r>
      <w:r>
        <w:rPr>
          <w:rtl w:val="true"/>
        </w:rPr>
        <w:t xml:space="preserve">: </w:t>
      </w:r>
      <w:r>
        <w:rPr>
          <w:rtl w:val="true"/>
        </w:rPr>
        <w:t>הנאשם טען בדבריו האחרונים כי מטרת החזקת האקדח היא לצורכי הגנה עצמית</w:t>
      </w:r>
      <w:r>
        <w:rPr>
          <w:rtl w:val="true"/>
        </w:rPr>
        <w:t xml:space="preserve">. </w:t>
      </w:r>
      <w:r>
        <w:rPr>
          <w:rtl w:val="true"/>
        </w:rPr>
        <w:t>לא ניתן לקבל טענה זו</w:t>
      </w:r>
      <w:r>
        <w:rPr>
          <w:rtl w:val="true"/>
        </w:rPr>
        <w:t xml:space="preserve">, </w:t>
      </w:r>
      <w:r>
        <w:rPr>
          <w:rtl w:val="true"/>
        </w:rPr>
        <w:t>ובכך לעודד את החשים מאוימים להחזיק בנשק ותחמושת באופן בלתי חוקי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קבלת הטענה</w:t>
      </w:r>
      <w:r>
        <w:rPr>
          <w:rtl w:val="true"/>
        </w:rPr>
        <w:t>, "</w:t>
      </w:r>
      <w:r>
        <w:rPr>
          <w:rtl w:val="true"/>
        </w:rPr>
        <w:t>מזמינה</w:t>
      </w:r>
      <w:r>
        <w:rPr>
          <w:rtl w:val="true"/>
        </w:rPr>
        <w:t xml:space="preserve">" </w:t>
      </w:r>
      <w:r>
        <w:rPr>
          <w:rtl w:val="true"/>
        </w:rPr>
        <w:t>שימוש בנשק המוחזק לצורכי הגנה עצמית במועד בו ימצא מחזיק הנשק שלא כדין לעשות בו שימוש בהמשך הדרך ולפגוע בכך בערכים מוגנים נוספים</w:t>
      </w:r>
      <w:r>
        <w:rPr>
          <w:rtl w:val="true"/>
        </w:rPr>
        <w:t>.</w:t>
      </w:r>
    </w:p>
    <w:p>
      <w:pPr>
        <w:pStyle w:val="Style13"/>
        <w:ind w:hanging="0" w:start="644" w:end="0"/>
        <w:jc w:val="both"/>
        <w:rPr/>
      </w:pPr>
      <w:bookmarkStart w:id="11" w:name="_Hlk168496521"/>
      <w:bookmarkEnd w:id="11"/>
      <w:r>
        <w:rPr>
          <w:rtl w:val="true"/>
        </w:rPr>
        <w:t>בענין זה ר</w:t>
      </w:r>
      <w:r>
        <w:rPr>
          <w:rtl w:val="true"/>
        </w:rPr>
        <w:t xml:space="preserve">' </w:t>
      </w:r>
      <w:r>
        <w:rPr>
          <w:rtl w:val="true"/>
        </w:rPr>
        <w:t xml:space="preserve">הדברים הבאים מתוך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5681/23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 חווא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20.12.2023</w:t>
      </w:r>
      <w:r>
        <w:rPr>
          <w:rtl w:val="true"/>
        </w:rPr>
        <w:t>):</w:t>
      </w:r>
    </w:p>
    <w:p>
      <w:pPr>
        <w:pStyle w:val="Style15"/>
        <w:ind w:end="709"/>
        <w:jc w:val="both"/>
        <w:rPr/>
      </w:pPr>
      <w:bookmarkStart w:id="12" w:name="_Hlk168496521"/>
      <w:bookmarkEnd w:id="12"/>
      <w:r>
        <w:rPr>
          <w:rtl w:val="true"/>
        </w:rPr>
        <w:t>"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אין לקבל את 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המבקש להפחית מחומרתן של עבירות של החזקה ונשיאת נשק באצטלה של </w:t>
      </w:r>
      <w:r>
        <w:rPr>
          <w:b/>
          <w:b/>
          <w:bCs/>
          <w:rtl w:val="true"/>
        </w:rPr>
        <w:t>הגנה עצמית</w:t>
      </w:r>
      <w:r>
        <w:rPr>
          <w:rtl w:val="true"/>
        </w:rPr>
        <w:t xml:space="preserve">. </w:t>
      </w:r>
      <w:r>
        <w:rPr>
          <w:rtl w:val="true"/>
        </w:rPr>
        <w:t xml:space="preserve">עלינו להעביר מסר חד וברור </w:t>
      </w:r>
      <w:r>
        <w:rPr>
          <w:rtl w:val="true"/>
        </w:rPr>
        <w:t xml:space="preserve">- </w:t>
      </w:r>
      <w:r>
        <w:rPr>
          <w:rtl w:val="true"/>
        </w:rPr>
        <w:t>כל מי שנושא ומחזיק נשק בלתי חוקי ואף אם מדובר בצורך להגנה אישית</w:t>
      </w:r>
      <w:r>
        <w:rPr>
          <w:rtl w:val="true"/>
        </w:rPr>
        <w:t xml:space="preserve">, </w:t>
      </w:r>
      <w:r>
        <w:rPr>
          <w:rtl w:val="true"/>
        </w:rPr>
        <w:t>עליו להיות מודע לכך שהוא עובר על החוק וצפוי לענישה קשה בדמות עונש מאסר משמעותי בפועל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הענישה המחמירה והבלתי מתפשרת צריכה לחול ללא קשר על כל עבירה בנשק לנוכח חשש מפגיעה ממשית בערכים החברתיים</w:t>
      </w:r>
      <w:r>
        <w:rPr>
          <w:rtl w:val="true"/>
        </w:rPr>
        <w:t xml:space="preserve">, </w:t>
      </w:r>
      <w:r>
        <w:rPr>
          <w:rtl w:val="true"/>
        </w:rPr>
        <w:t>ואיומים משמעותיים על שלום הציבור וביטחונו</w:t>
      </w:r>
      <w:r>
        <w:rPr>
          <w:rtl w:val="true"/>
        </w:rPr>
        <w:t>."</w:t>
      </w:r>
    </w:p>
    <w:p>
      <w:pPr>
        <w:pStyle w:val="Style13"/>
        <w:ind w:end="0"/>
        <w:jc w:val="both"/>
        <w:rPr/>
      </w:pPr>
      <w:r>
        <w:rPr>
          <w:u w:val="single"/>
          <w:rtl w:val="true"/>
        </w:rPr>
        <w:t>מיקום החזקת הנשק</w:t>
      </w:r>
      <w:r>
        <w:rPr>
          <w:rtl w:val="true"/>
        </w:rPr>
        <w:t xml:space="preserve">: </w:t>
      </w:r>
      <w:r>
        <w:rPr>
          <w:rtl w:val="true"/>
        </w:rPr>
        <w:t>אינני מוצא לקבל את טענת ב</w:t>
      </w:r>
      <w:r>
        <w:rPr>
          <w:rtl w:val="true"/>
        </w:rPr>
        <w:t>"</w:t>
      </w:r>
      <w:r>
        <w:rPr>
          <w:rtl w:val="true"/>
        </w:rPr>
        <w:t>כ הנאשם ולפיה יש בהחזקת נשק ותחמושת בשטחי איו</w:t>
      </w:r>
      <w:r>
        <w:rPr>
          <w:rtl w:val="true"/>
        </w:rPr>
        <w:t>"</w:t>
      </w:r>
      <w:r>
        <w:rPr>
          <w:rtl w:val="true"/>
        </w:rPr>
        <w:t>ש שיקול לקולא</w:t>
      </w:r>
      <w:r>
        <w:rPr>
          <w:rtl w:val="true"/>
        </w:rPr>
        <w:t xml:space="preserve">. </w:t>
      </w:r>
      <w:r>
        <w:rPr>
          <w:rtl w:val="true"/>
        </w:rPr>
        <w:t>בראש ובראשונה כרוכים הדברים בפוטנציאל זליגת הנשק והתחמושת לידי גורמים חבלניים או פליליים העלולה להביא לביצוע עבירות פליליות או לאומניות ולאובדן חיי אדם</w:t>
      </w:r>
      <w:r>
        <w:rPr>
          <w:rtl w:val="true"/>
        </w:rPr>
        <w:t xml:space="preserve">, </w:t>
      </w:r>
      <w:r>
        <w:rPr>
          <w:rtl w:val="true"/>
        </w:rPr>
        <w:t>בין אם בשטחי ישראל ובין אם בשטחי איו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שגם שם מתגוררים אזרחי מדינת ישראל</w:t>
      </w:r>
      <w:r>
        <w:rPr>
          <w:rtl w:val="true"/>
        </w:rPr>
        <w:t xml:space="preserve">). </w:t>
      </w:r>
      <w:r>
        <w:rPr>
          <w:rtl w:val="true"/>
        </w:rPr>
        <w:t>ולצד זאת</w:t>
      </w:r>
      <w:r>
        <w:rPr>
          <w:rtl w:val="true"/>
        </w:rPr>
        <w:t xml:space="preserve">, </w:t>
      </w:r>
      <w:r>
        <w:rPr>
          <w:rtl w:val="true"/>
        </w:rPr>
        <w:t>קיים פוטנציאל נזק ממשי לבני ביתו של הנאשם ולמבקרים בו נוכח החזקת האקדח והמחסניות במגירת שולחן האוכל ללא השגחה</w:t>
      </w:r>
      <w:r>
        <w:rPr>
          <w:rtl w:val="true"/>
        </w:rPr>
        <w:t xml:space="preserve">, </w:t>
      </w:r>
      <w:r>
        <w:rPr>
          <w:rtl w:val="true"/>
        </w:rPr>
        <w:t>דווקא במצב הנתון בו הנאשם אינו מתגורר במקום באופן קבוע אלא חולק את זמנו בין בית אשתו וילדיו ביאטה ובין ביתו ברמלה</w:t>
      </w:r>
      <w:r>
        <w:rPr>
          <w:rtl w:val="true"/>
        </w:rPr>
        <w:t xml:space="preserve">. 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>
          <w:b/>
          <w:bCs/>
        </w:rPr>
      </w:pPr>
      <w:r>
        <w:rPr>
          <w:b/>
          <w:b/>
          <w:bCs/>
          <w:rtl w:val="true"/>
        </w:rPr>
        <w:t>בשל 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מצאתי לקבוע את מתחם העונש ההולם כך שינוע בין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tl w:val="true"/>
        </w:rPr>
        <w:t>שיקולי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/>
      </w:pPr>
      <w:r>
        <w:rPr>
          <w:rtl w:val="true"/>
        </w:rPr>
        <w:t>בגזירת העונש המתאים לנאשם בתוך מתחם העונש</w:t>
      </w:r>
      <w:r>
        <w:rPr>
          <w:rtl w:val="true"/>
        </w:rPr>
        <w:t xml:space="preserve">, </w:t>
      </w:r>
      <w:r>
        <w:rPr>
          <w:rtl w:val="true"/>
        </w:rPr>
        <w:t xml:space="preserve">נשקלו הנסיבות הבאות שאינן קשורות בביצוע העבירה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יא</w:t>
        </w:r>
      </w:hyperlink>
      <w:r>
        <w:rPr>
          <w:rtl w:val="true"/>
        </w:rPr>
        <w:t xml:space="preserve"> ל</w:t>
      </w:r>
      <w:hyperlink r:id="rId3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):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709" w:end="0"/>
        <w:jc w:val="both"/>
        <w:rPr/>
      </w:pPr>
      <w:r>
        <w:rPr>
          <w:u w:val="single"/>
          <w:rtl w:val="true"/>
        </w:rPr>
        <w:t>עבר פלילי</w:t>
      </w:r>
      <w:r>
        <w:rPr>
          <w:rtl w:val="true"/>
        </w:rPr>
        <w:t xml:space="preserve">: </w:t>
      </w:r>
      <w:r>
        <w:rPr>
          <w:rtl w:val="true"/>
        </w:rPr>
        <w:t>הנאשם נעדר עבר פלילי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709" w:end="0"/>
        <w:jc w:val="both"/>
        <w:rPr/>
      </w:pPr>
      <w:r>
        <w:rPr>
          <w:u w:val="single"/>
          <w:rtl w:val="true"/>
        </w:rPr>
        <w:t>נטילת אחריות ושיתוף פעולה</w:t>
      </w:r>
      <w:r>
        <w:rPr>
          <w:rtl w:val="true"/>
        </w:rPr>
        <w:t xml:space="preserve">: </w:t>
      </w:r>
      <w:r>
        <w:rPr>
          <w:rtl w:val="true"/>
        </w:rPr>
        <w:t xml:space="preserve">הודאת הנאשם מגלמת </w:t>
      </w:r>
      <w:r>
        <w:rPr>
          <w:rtl w:val="true"/>
        </w:rPr>
        <w:t>(</w:t>
      </w:r>
      <w:r>
        <w:rPr>
          <w:rtl w:val="true"/>
        </w:rPr>
        <w:t>בדרך כלל</w:t>
      </w:r>
      <w:r>
        <w:rPr>
          <w:rtl w:val="true"/>
        </w:rPr>
        <w:t xml:space="preserve">) </w:t>
      </w:r>
      <w:r>
        <w:rPr>
          <w:rtl w:val="true"/>
        </w:rPr>
        <w:t>קבלת אחריות על ביצוע המעשים</w:t>
      </w:r>
      <w:r>
        <w:rPr>
          <w:rtl w:val="true"/>
        </w:rPr>
        <w:t xml:space="preserve">, </w:t>
      </w:r>
      <w:r>
        <w:rPr>
          <w:rtl w:val="true"/>
        </w:rPr>
        <w:t>יש בה משום הקלה למתלוננים אשר נחסך מהם מעמד העדות 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ונלווה לה חסכון משמעותי מזמנם של עדי התביעה ובהם שוטרים</w:t>
      </w:r>
      <w:r>
        <w:rPr>
          <w:rtl w:val="true"/>
        </w:rPr>
        <w:t xml:space="preserve">, </w:t>
      </w:r>
      <w:r>
        <w:rPr>
          <w:rtl w:val="true"/>
        </w:rPr>
        <w:t>ובזמן שיפוטי יקר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 הודה במיוחס לו</w:t>
      </w:r>
      <w:r>
        <w:rPr>
          <w:rtl w:val="true"/>
        </w:rPr>
        <w:t xml:space="preserve">, </w:t>
      </w:r>
      <w:r>
        <w:rPr>
          <w:rtl w:val="true"/>
        </w:rPr>
        <w:t>אם כי במסגרת דבריו האחרונים בבית המשפט התקבל הרושם כי הוא לא הפנים באופן מלא את הפסול שבמעשה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u w:val="single"/>
          <w:rtl w:val="true"/>
        </w:rPr>
        <w:t>הרתעת הרבים והרתעת היחיד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העליון עמד לא אחת על הצורך בהחמרת ענישה בעבירות הנשק תוך מתן שיקול מרכזי של הרתעת הרבים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למשל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עידן קריף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13.02.2022</w:t>
      </w:r>
      <w:r>
        <w:rPr>
          <w:rtl w:val="true"/>
        </w:rPr>
        <w:t>):</w:t>
      </w:r>
    </w:p>
    <w:p>
      <w:pPr>
        <w:pStyle w:val="Style15"/>
        <w:ind w:end="709"/>
        <w:jc w:val="both"/>
        <w:rPr/>
      </w:pPr>
      <w:r>
        <w:rPr>
          <w:rtl w:val="true"/>
        </w:rPr>
        <w:t>"</w:t>
      </w:r>
      <w:r>
        <w:rPr>
          <w:rtl w:val="true"/>
        </w:rPr>
        <w:t xml:space="preserve">אקדח שיורה </w:t>
      </w:r>
      <w:r>
        <w:rPr>
          <w:rtl w:val="true"/>
        </w:rPr>
        <w:t>"</w:t>
      </w:r>
      <w:r>
        <w:rPr>
          <w:rtl w:val="true"/>
        </w:rPr>
        <w:t>במערכה השלישית</w:t>
      </w:r>
      <w:r>
        <w:rPr>
          <w:rtl w:val="true"/>
        </w:rPr>
        <w:t xml:space="preserve">" </w:t>
      </w:r>
      <w:r>
        <w:rPr>
          <w:rtl w:val="true"/>
        </w:rPr>
        <w:t>גורם כמובן לנזק רב</w:t>
      </w:r>
      <w:r>
        <w:rPr>
          <w:rtl w:val="true"/>
        </w:rPr>
        <w:t xml:space="preserve">, </w:t>
      </w:r>
      <w:r>
        <w:rPr>
          <w:rtl w:val="true"/>
        </w:rPr>
        <w:t xml:space="preserve">אך גם אקדח שמונח על השולחן </w:t>
      </w:r>
      <w:r>
        <w:rPr>
          <w:rtl w:val="true"/>
        </w:rPr>
        <w:t>"</w:t>
      </w:r>
      <w:r>
        <w:rPr>
          <w:rtl w:val="true"/>
        </w:rPr>
        <w:t>במערכה הראשונה</w:t>
      </w:r>
      <w:r>
        <w:rPr>
          <w:rtl w:val="true"/>
        </w:rPr>
        <w:t xml:space="preserve">" – </w:t>
      </w:r>
      <w:r>
        <w:rPr>
          <w:rtl w:val="true"/>
        </w:rPr>
        <w:t>אף אם לא נעשה בו כל שימוש אחר בהמשך – עלול לפגוע בשלום הציבור באופן ממשי</w:t>
      </w:r>
      <w:r>
        <w:rPr>
          <w:rtl w:val="true"/>
        </w:rPr>
        <w:t xml:space="preserve">. </w:t>
      </w:r>
      <w:r>
        <w:rPr>
          <w:rtl w:val="true"/>
        </w:rPr>
        <w:t>יש לקשור אפוא מלחמת חורמה על עבירות הנשק למיניהן</w:t>
      </w:r>
      <w:r>
        <w:rPr>
          <w:rtl w:val="true"/>
        </w:rPr>
        <w:t xml:space="preserve">, </w:t>
      </w:r>
      <w:r>
        <w:rPr>
          <w:rtl w:val="true"/>
        </w:rPr>
        <w:t>וגם על בית המשפט לתרום את חלקו למלחמה זו באמצעות ענישה הולמת ומרתיעה</w:t>
      </w:r>
      <w:r>
        <w:rPr>
          <w:rtl w:val="true"/>
        </w:rPr>
        <w:t xml:space="preserve">. </w:t>
      </w:r>
      <w:r>
        <w:rPr>
          <w:rtl w:val="true"/>
        </w:rPr>
        <w:t>לא פעם נקבע כי יש להחמיר בענישה בגין עבירות נשק</w:t>
      </w:r>
      <w:r>
        <w:rPr>
          <w:rtl w:val="true"/>
        </w:rPr>
        <w:t xml:space="preserve">, </w:t>
      </w:r>
      <w:r>
        <w:rPr>
          <w:rtl w:val="true"/>
        </w:rPr>
        <w:t>ולהעניק משקל מרכזי לשיקול של הרתעת הכלל</w:t>
      </w:r>
      <w:r>
        <w:rPr>
          <w:rtl w:val="true"/>
        </w:rPr>
        <w:t>"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דברי ביהמ</w:t>
      </w:r>
      <w:r>
        <w:rPr>
          <w:rtl w:val="true"/>
        </w:rPr>
        <w:t>"</w:t>
      </w:r>
      <w:r>
        <w:rPr>
          <w:rtl w:val="true"/>
        </w:rPr>
        <w:t>ש גם 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9228/23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 xml:space="preserve">אגבאריה מיום </w:t>
      </w:r>
      <w:r>
        <w:rPr>
          <w:u w:val="single"/>
        </w:rPr>
        <w:t>26.5.24</w:t>
      </w:r>
      <w:r>
        <w:rPr>
          <w:rtl w:val="true"/>
        </w:rPr>
        <w:t>:</w:t>
      </w:r>
    </w:p>
    <w:p>
      <w:pPr>
        <w:pStyle w:val="Style15"/>
        <w:ind w:end="709"/>
        <w:jc w:val="both"/>
        <w:rPr/>
      </w:pPr>
      <w:r>
        <w:rPr>
          <w:rtl w:val="true"/>
        </w:rPr>
        <w:t>"</w:t>
      </w:r>
      <w:r>
        <w:rPr>
          <w:rtl w:val="true"/>
        </w:rPr>
        <w:t>עבירות הנשק מצויות על סדר יומו של בית משפט זה דרך שגרה</w:t>
      </w:r>
      <w:r>
        <w:rPr>
          <w:rtl w:val="true"/>
        </w:rPr>
        <w:t xml:space="preserve">. </w:t>
      </w:r>
      <w:r>
        <w:rPr>
          <w:rtl w:val="true"/>
        </w:rPr>
        <w:t>עובדה זאת מהווה השתקפות של תמונת האלימות והפשיעה בנשק הגואה בחברה הישראלית</w:t>
      </w:r>
      <w:r>
        <w:rPr>
          <w:rtl w:val="true"/>
        </w:rPr>
        <w:t xml:space="preserve">, </w:t>
      </w:r>
      <w:r>
        <w:rPr>
          <w:rtl w:val="true"/>
        </w:rPr>
        <w:t>ובחברה הערבית בפרט</w:t>
      </w:r>
      <w:r>
        <w:rPr>
          <w:rtl w:val="true"/>
        </w:rPr>
        <w:t xml:space="preserve">; </w:t>
      </w:r>
      <w:r>
        <w:rPr>
          <w:rtl w:val="true"/>
        </w:rPr>
        <w:t>של תמונת הקורבנות מעבירות הנשק המציגה גידול מידי שנה</w:t>
      </w:r>
      <w:r>
        <w:rPr>
          <w:rtl w:val="true"/>
        </w:rPr>
        <w:t xml:space="preserve">; </w:t>
      </w:r>
      <w:r>
        <w:rPr>
          <w:rtl w:val="true"/>
        </w:rPr>
        <w:t>ושל רמת האכיפה בכל המתייחס להחזקת נשק לא חוקי</w:t>
      </w:r>
      <w:r>
        <w:rPr>
          <w:rtl w:val="true"/>
        </w:rPr>
        <w:t xml:space="preserve">. </w:t>
      </w:r>
      <w:r>
        <w:rPr>
          <w:rtl w:val="true"/>
        </w:rPr>
        <w:t>כבר תואר כי המצב הגיע לכדי מצב חירום לאומי</w:t>
      </w:r>
      <w:r>
        <w:rPr>
          <w:rtl w:val="true"/>
        </w:rPr>
        <w:t xml:space="preserve">. </w:t>
      </w:r>
      <w:r>
        <w:rPr>
          <w:rtl w:val="true"/>
        </w:rPr>
        <w:t>על רקע זה ניכרת בפסיקה מגמה של הקשחת מדיניות הענישה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תוך מתן </w:t>
      </w:r>
      <w:r>
        <w:rPr>
          <w:b/>
          <w:b/>
          <w:bCs/>
          <w:rtl w:val="true"/>
        </w:rPr>
        <w:t>משקל מרכזי</w:t>
      </w:r>
      <w:r>
        <w:rPr>
          <w:rtl w:val="true"/>
        </w:rPr>
        <w:t xml:space="preserve"> לשיקול של הרתעת הכלל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)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  <w:t>בענייננו ב</w:t>
      </w:r>
      <w:r>
        <w:rPr>
          <w:rtl w:val="true"/>
        </w:rPr>
        <w:t>"</w:t>
      </w:r>
      <w:r>
        <w:rPr>
          <w:rtl w:val="true"/>
        </w:rPr>
        <w:t>מערכה הראשונה</w:t>
      </w:r>
      <w:r>
        <w:rPr>
          <w:rtl w:val="true"/>
        </w:rPr>
        <w:t xml:space="preserve">" </w:t>
      </w:r>
      <w:r>
        <w:rPr>
          <w:rtl w:val="true"/>
        </w:rPr>
        <w:t>היה מונח אקדחו של הנאשם בתוך מגירת שולחן האוכל כאשר הוא טעון במחסנית מלאה ולצידו מחסנית טעונה נוספת</w:t>
      </w:r>
      <w:r>
        <w:rPr>
          <w:rtl w:val="true"/>
        </w:rPr>
        <w:t xml:space="preserve">. </w:t>
      </w:r>
      <w:r>
        <w:rPr>
          <w:rtl w:val="true"/>
        </w:rPr>
        <w:t>המערכות הבאות עלולות היו להתרחש ולהביא לתוצאות קשות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tl w:val="true"/>
        </w:rPr>
        <w:t>סוף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Style14"/>
        <w:numPr>
          <w:ilvl w:val="1"/>
          <w:numId w:val="2"/>
        </w:numPr>
        <w:tabs>
          <w:tab w:val="clear" w:pos="720"/>
          <w:tab w:val="left" w:pos="2911" w:leader="none"/>
        </w:tabs>
        <w:ind w:hanging="360" w:end="0"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אני דן את הנאשם לעונשים הבאים</w:t>
      </w:r>
      <w:r>
        <w:rPr>
          <w:rtl w:val="true"/>
        </w:rPr>
        <w:t>:</w:t>
      </w:r>
    </w:p>
    <w:p>
      <w:pPr>
        <w:pStyle w:val="Style16"/>
        <w:numPr>
          <w:ilvl w:val="0"/>
          <w:numId w:val="5"/>
        </w:numPr>
        <w:ind w:hanging="36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המעצר בתיק זה</w:t>
      </w:r>
      <w:r>
        <w:rPr>
          <w:rtl w:val="true"/>
        </w:rPr>
        <w:t>.</w:t>
      </w:r>
    </w:p>
    <w:p>
      <w:pPr>
        <w:pStyle w:val="Style16"/>
        <w:numPr>
          <w:ilvl w:val="0"/>
          <w:numId w:val="4"/>
        </w:numPr>
        <w:ind w:hanging="36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מתום ריצוי מאסרו שלא יעבור עבירה לפי </w:t>
      </w:r>
      <w:hyperlink r:id="rId36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37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>.</w:t>
      </w:r>
    </w:p>
    <w:p>
      <w:pPr>
        <w:pStyle w:val="Style16"/>
        <w:numPr>
          <w:ilvl w:val="0"/>
          <w:numId w:val="4"/>
        </w:numPr>
        <w:ind w:hanging="360" w:end="0"/>
        <w:jc w:val="both"/>
        <w:rPr/>
      </w:pPr>
      <w:r>
        <w:rPr>
          <w:rtl w:val="true"/>
        </w:rPr>
        <w:t xml:space="preserve">קנס כספי בסך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עד יום </w:t>
      </w:r>
      <w:r>
        <w:rPr/>
        <w:t>1.8.24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/ </w:t>
      </w:r>
      <w:r>
        <w:rPr>
          <w:b/>
          <w:b/>
          <w:bCs/>
          <w:rtl w:val="true"/>
        </w:rPr>
        <w:t>הפיצוי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הבאות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והגבייה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בכתובת</w:t>
      </w:r>
      <w:r>
        <w:rPr>
          <w:b/>
          <w:bCs/>
          <w:rtl w:val="true"/>
        </w:rPr>
        <w:t xml:space="preserve">: </w:t>
      </w:r>
      <w:r>
        <w:rPr>
          <w:b/>
          <w:bCs/>
        </w:rPr>
        <w:t>www.eca.gov.il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הגבייה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שמספרו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35592</w:t>
      </w:r>
      <w:r>
        <w:rPr>
          <w:b/>
          <w:bCs/>
          <w:rtl w:val="true"/>
        </w:rPr>
        <w:t xml:space="preserve">* </w:t>
      </w:r>
      <w:r>
        <w:rPr>
          <w:b/>
          <w:b/>
          <w:bCs/>
          <w:rtl w:val="true"/>
        </w:rPr>
        <w:t>או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073-205-5000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בהצגת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מוצגי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יריב בן דוד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66110-11-23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תביעות נגב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אנור דבאבסה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2911"/>
        </w:tabs>
        <w:ind w:start="2911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1800"/>
        </w:tabs>
        <w:ind w:start="180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2160"/>
        </w:tabs>
        <w:ind w:start="216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2880"/>
        </w:tabs>
        <w:ind w:start="28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3240"/>
        </w:tabs>
        <w:ind w:start="324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3600"/>
        </w:tabs>
        <w:ind w:start="360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4320"/>
        </w:tabs>
        <w:ind w:start="432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4680"/>
        </w:tabs>
        <w:ind w:start="4680" w:hanging="1440"/>
      </w:p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Times New Roman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eading1Char">
    <w:name w:val="Heading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ללא מספור"/>
    <w:qFormat/>
    <w:pPr>
      <w:widowControl/>
      <w:bidi w:val="1"/>
      <w:spacing w:lineRule="auto" w:line="360" w:before="0" w:after="240"/>
      <w:ind w:hanging="7" w:start="651" w:end="651"/>
      <w:jc w:val="both"/>
    </w:pPr>
    <w:rPr>
      <w:rFonts w:ascii="David" w:hAnsi="David" w:eastAsia="Calibri" w:cs="David"/>
      <w:color w:val="auto"/>
      <w:sz w:val="24"/>
      <w:szCs w:val="24"/>
      <w:lang w:val="en-US" w:bidi="he-IL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Style14">
    <w:name w:val="ממוספר"/>
    <w:basedOn w:val="ListParagraph"/>
    <w:next w:val="Style13"/>
    <w:qFormat/>
    <w:pPr>
      <w:numPr>
        <w:ilvl w:val="0"/>
        <w:numId w:val="2"/>
      </w:numPr>
      <w:spacing w:lineRule="auto" w:line="360" w:before="0" w:after="240"/>
      <w:ind w:hanging="425" w:start="651" w:end="0"/>
      <w:contextualSpacing w:val="false"/>
      <w:jc w:val="both"/>
    </w:pPr>
    <w:rPr>
      <w:rFonts w:ascii="David" w:hAnsi="David" w:eastAsia="David" w:cs="David"/>
    </w:rPr>
  </w:style>
  <w:style w:type="paragraph" w:styleId="1">
    <w:name w:val="כותר 1"/>
    <w:basedOn w:val="Heading1"/>
    <w:qFormat/>
    <w:pPr>
      <w:numPr>
        <w:ilvl w:val="0"/>
        <w:numId w:val="0"/>
      </w:numPr>
      <w:spacing w:lineRule="auto" w:line="360" w:before="240" w:after="240"/>
      <w:ind w:hanging="0" w:start="0"/>
      <w:outlineLvl w:val="9"/>
    </w:pPr>
    <w:rPr>
      <w:rFonts w:ascii="Arial" w:hAnsi="Arial" w:eastAsia="David" w:cs="David"/>
      <w:b/>
      <w:bCs/>
      <w:color w:val="000000"/>
      <w:sz w:val="24"/>
      <w:szCs w:val="24"/>
      <w:u w:val="single"/>
    </w:rPr>
  </w:style>
  <w:style w:type="paragraph" w:styleId="Style15">
    <w:name w:val="צטוט"/>
    <w:next w:val="Style13"/>
    <w:qFormat/>
    <w:pPr>
      <w:widowControl/>
      <w:bidi w:val="1"/>
      <w:spacing w:lineRule="auto" w:line="276" w:before="0" w:after="240"/>
      <w:ind w:hanging="0" w:start="1503" w:end="709"/>
      <w:jc w:val="both"/>
    </w:pPr>
    <w:rPr>
      <w:rFonts w:ascii="David" w:hAnsi="David" w:eastAsia="Calibri" w:cs="David"/>
      <w:i/>
      <w:iCs/>
      <w:color w:val="auto"/>
      <w:sz w:val="24"/>
      <w:szCs w:val="24"/>
      <w:lang w:val="en-US" w:bidi="he-IL" w:eastAsia="zh-CN"/>
    </w:rPr>
  </w:style>
  <w:style w:type="paragraph" w:styleId="-">
    <w:name w:val="ללא מספור - אות"/>
    <w:qFormat/>
    <w:pPr>
      <w:widowControl/>
      <w:bidi w:val="1"/>
      <w:spacing w:lineRule="auto" w:line="360" w:before="0" w:after="120"/>
      <w:ind w:hanging="0" w:start="1218" w:end="1218"/>
      <w:jc w:val="both"/>
    </w:pPr>
    <w:rPr>
      <w:rFonts w:ascii="David" w:hAnsi="David" w:eastAsia="Calibri" w:cs="David"/>
      <w:color w:val="auto"/>
      <w:sz w:val="24"/>
      <w:szCs w:val="24"/>
      <w:lang w:val="en-US" w:bidi="he-IL" w:eastAsia="zh-CN"/>
    </w:rPr>
  </w:style>
  <w:style w:type="paragraph" w:styleId="Style16">
    <w:name w:val="מספור אות"/>
    <w:next w:val="-"/>
    <w:qFormat/>
    <w:pPr>
      <w:widowControl/>
      <w:numPr>
        <w:ilvl w:val="0"/>
        <w:numId w:val="4"/>
      </w:numPr>
      <w:bidi w:val="1"/>
      <w:spacing w:lineRule="auto" w:line="360" w:before="240" w:after="120"/>
      <w:ind w:hanging="0" w:start="1218" w:end="1218"/>
      <w:jc w:val="start"/>
    </w:pPr>
    <w:rPr>
      <w:rFonts w:ascii="David" w:hAnsi="David" w:eastAsia="Calibri" w:cs="David"/>
      <w:color w:val="auto"/>
      <w:sz w:val="24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9650897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9867910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8400048" TargetMode="External"/><Relationship Id="rId22" Type="http://schemas.openxmlformats.org/officeDocument/2006/relationships/hyperlink" Target="http://www.nevo.co.il/case/26986974" TargetMode="External"/><Relationship Id="rId23" Type="http://schemas.openxmlformats.org/officeDocument/2006/relationships/hyperlink" Target="http://www.nevo.co.il/case/28567439" TargetMode="External"/><Relationship Id="rId24" Type="http://schemas.openxmlformats.org/officeDocument/2006/relationships/hyperlink" Target="http://www.nevo.co.il/case/26913995" TargetMode="External"/><Relationship Id="rId25" Type="http://schemas.openxmlformats.org/officeDocument/2006/relationships/hyperlink" Target="http://www.nevo.co.il/case/29591873" TargetMode="External"/><Relationship Id="rId26" Type="http://schemas.openxmlformats.org/officeDocument/2006/relationships/hyperlink" Target="http://www.nevo.co.il/case/29243283" TargetMode="External"/><Relationship Id="rId27" Type="http://schemas.openxmlformats.org/officeDocument/2006/relationships/hyperlink" Target="http://www.nevo.co.il/case/28852952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5824863" TargetMode="External"/><Relationship Id="rId31" Type="http://schemas.openxmlformats.org/officeDocument/2006/relationships/hyperlink" Target="http://www.nevo.co.il/case/29867910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7925239" TargetMode="External"/><Relationship Id="rId35" Type="http://schemas.openxmlformats.org/officeDocument/2006/relationships/hyperlink" Target="http://www.nevo.co.il/case/30315066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2024-06-16T12:11:00Z</dcterms:created>
  <dc:creator> </dc:creator>
  <dc:description/>
  <cp:keywords/>
  <dc:language>en-IL</dc:language>
  <cp:lastModifiedBy>h1</cp:lastModifiedBy>
  <dcterms:modified xsi:type="dcterms:W3CDTF">2024-06-16T12:11:00Z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תביעות נגב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אנור דבאבסה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29650897;29867910:2;25824863:2;28400048;26986974;28567439;26913995;29591873;29243283;28852952;27925239;30315066</vt:lpwstr>
  </property>
  <property fmtid="{D5CDD505-2E9C-101B-9397-08002B2CF9AE}" pid="9" name="CITY">
    <vt:lpwstr>ב"ש</vt:lpwstr>
  </property>
  <property fmtid="{D5CDD505-2E9C-101B-9397-08002B2CF9AE}" pid="10" name="DATE">
    <vt:lpwstr>20240613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יריב בן דוד</vt:lpwstr>
  </property>
  <property fmtid="{D5CDD505-2E9C-101B-9397-08002B2CF9AE}" pid="14" name="LAWLISTTMP1">
    <vt:lpwstr>70301/144.a:3;040c.a;040b;040i;40ja;144.b</vt:lpwstr>
  </property>
  <property fmtid="{D5CDD505-2E9C-101B-9397-08002B2CF9AE}" pid="15" name="LAWYER">
    <vt:lpwstr>שוקרי אבו טביק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66110</vt:lpwstr>
  </property>
  <property fmtid="{D5CDD505-2E9C-101B-9397-08002B2CF9AE}" pid="22" name="NEWPARTB">
    <vt:lpwstr>11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380020240613</vt:lpwstr>
  </property>
  <property fmtid="{D5CDD505-2E9C-101B-9397-08002B2CF9AE}" pid="34" name="TYPE_N_DATE">
    <vt:lpwstr>38020240613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