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70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אברהם רובין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66319-05-20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נסאר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405" w:leader="none"/>
                <w:tab w:val="center" w:pos="3840" w:leader="none"/>
              </w:tabs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ab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tabs>
                <w:tab w:val="clear" w:pos="720"/>
                <w:tab w:val="left" w:pos="2405" w:leader="none"/>
                <w:tab w:val="center" w:pos="3840" w:leader="none"/>
              </w:tabs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405" w:leader="none"/>
                <w:tab w:val="center" w:pos="3840" w:leader="none"/>
              </w:tabs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אדם נאסר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start"/>
        <w:rPr>
          <w:rFonts w:ascii="David" w:hAnsi="David" w:cs="David"/>
          <w:sz w:val="32"/>
          <w:szCs w:val="32"/>
          <w:u w:val="single"/>
        </w:rPr>
      </w:pPr>
      <w:r>
        <w:rPr>
          <w:rFonts w:cs="David" w:ascii="David" w:hAnsi="David"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העבירה בה הורשע הנאשם</w:t>
      </w:r>
    </w:p>
    <w:p>
      <w:pPr>
        <w:pStyle w:val="Normal"/>
        <w:spacing w:lineRule="auto" w:line="360"/>
        <w:ind w:start="720" w:end="0"/>
        <w:jc w:val="both"/>
        <w:rPr/>
      </w:pPr>
      <w:bookmarkStart w:id="9" w:name="ABSTRACT_START"/>
      <w:bookmarkEnd w:id="9"/>
      <w:r>
        <w:rPr>
          <w:rFonts w:ascii="David" w:hAnsi="David"/>
          <w:rtl w:val="true"/>
        </w:rPr>
        <w:t>הנאשם הורשע על יסוד הודאתו בעובדות כתב אישום מתוקן במסגרת הסדר טיעון פתוח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עבירה של סחר בנשק ובתחמושת – עבירה לפי </w:t>
      </w:r>
      <w:hyperlink r:id="rId5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6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bookmarkStart w:id="10" w:name="ABSTRACT_END"/>
      <w:bookmarkEnd w:id="10"/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האמור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ליום </w:t>
      </w:r>
      <w:r>
        <w:rPr>
          <w:rFonts w:cs="David" w:ascii="David" w:hAnsi="David"/>
        </w:rPr>
        <w:t>26.2.20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פנה אדם בשם פחרי אבו נאב אל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לרכוש ממנו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המוצע למכירה היה מאופסן בביתו של רמדאן נסאר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אחיו של הנאשם ושותפו לעסקי מכירת 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כיוון 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 הנאשם ופחרי לביתו של רמדאן כדי לקדם את עסקת רכישת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המפגש ה</w:t>
      </w:r>
      <w:r>
        <w:rPr>
          <w:rFonts w:ascii="David" w:hAnsi="David"/>
          <w:rtl w:val="true"/>
        </w:rPr>
        <w:t>ציג</w:t>
      </w:r>
      <w:r>
        <w:rPr>
          <w:rFonts w:ascii="David" w:hAnsi="David"/>
          <w:rtl w:val="true"/>
        </w:rPr>
        <w:t xml:space="preserve"> רמדאן</w:t>
      </w:r>
      <w:r>
        <w:rPr>
          <w:rFonts w:ascii="David" w:hAnsi="David"/>
          <w:rtl w:val="true"/>
        </w:rPr>
        <w:t xml:space="preserve"> בםני פחרי</w:t>
      </w:r>
      <w:r>
        <w:rPr>
          <w:rFonts w:ascii="David" w:hAnsi="David"/>
          <w:rtl w:val="true"/>
        </w:rPr>
        <w:t xml:space="preserve"> אקדח מסוג </w:t>
      </w:r>
      <w:r>
        <w:rPr>
          <w:rFonts w:cs="David" w:ascii="David" w:hAnsi="David"/>
        </w:rPr>
        <w:t xml:space="preserve">BLOW </w:t>
      </w:r>
      <w:r>
        <w:rPr>
          <w:rFonts w:cs="David" w:ascii="David" w:hAnsi="David"/>
        </w:rPr>
        <w:t xml:space="preserve"> 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שעבר הסבה ובכוחו להמית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ורמדאן אמרו לפחרי שהוא יוכל לנסות את האקדח ולירות בו בטרם ירכוש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והם אף סייעו לפחרי בכך שטענו את האקדח 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 יצא פחרי למרפסת ביתו של רמדאן וירה מהמרפסת כדור אחד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פחרי שילם לנאשם ולרמדאן </w:t>
      </w:r>
      <w:r>
        <w:rPr>
          <w:rFonts w:cs="David" w:ascii="David" w:hAnsi="David"/>
        </w:rPr>
        <w:t>9,000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במזומן בתמורה לאקדח וחמישה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 נטל פחרי את האקדח והחביא אותו בארון הבגדים בביתו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מספר ימים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רכש פחרי מהנאשם ומרמדאן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1,200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5.3.20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הציע הנאשם לפחרי להחליף את האקדח שנמכר לו באקדח אחר טוב יותר בתמורה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פחרי שאל מספר שאלות לגבי האקדח החדש וביקש מהנאשם שישלח לו תמונה של האקדח החדש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בו ביום שלח הנאשם לפחרי תמונה כמבוקש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קבלת התמונה התקיימה שיחה נוספת בין הנאשם לפחרי לגבי האקדח החדש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דבר משהבין פחרי כי האקדח החדש שהציע לו הנאשם דומה בתכונותיו לאקדח שהוא רכש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 פחרי לנאשם כי הוא איננו מעוניין לרכוש את האקדח החדש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 לעיל בגין המעשים האמורים הורשע הנאשם על יסוד הודאתו בביצוע עבירה של סחר בנשק ובתחמושת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לבקשת הנאשם נערך תסקיר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יובאו עיקרי התסקיר</w:t>
      </w:r>
      <w:r>
        <w:rPr>
          <w:rFonts w:cs="David" w:ascii="David" w:hAnsi="David"/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17.1.80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הרקע המשפחתי של הנאשם מורכב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בעמוד הראשון לתסקיר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ולאחר פטירת אביו הוא נשר מהלימודים במטרה להשתלב בשוק העבודה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לאורך השנים עבד הנאשם בעבודות מזדמנות בעיקר בתחום הניקיון והשיפוצים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נשוי בשנית ויש לו שני ילדים מאשתו הראשונה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לאורך השנים השתמש הנאשם בסמים מסוג קריסטל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חשיש וגראס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שנעשו ניסיונות מוסדיים לגמול אותו מהשימוש בסמים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הביע נכונות להשתלב בטיפול ייעודי בתחום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לדבריו הוא מעדיף לקבל טיפול בתוך כותלי הכלא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ובעניין זה נפרט בהמשך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לנוכח העבר הפלילי הנאשם מוכר לשירות המבחן מאז שנת </w:t>
      </w:r>
      <w:r>
        <w:rPr>
          <w:rFonts w:cs="David" w:ascii="David" w:hAnsi="David"/>
        </w:rPr>
        <w:t>1999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לאורך השנים הנאשם לא שיתף פעולה עם גורמי הטיפול ועל כן בהמשך להרשעותיו הקודמות הוא ריצה עונשי מאסר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את העבירה האחרונה לפני העבירה הנוכחית ביצע הנאשם 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הנאשם הוא ניסה בשנים האחרונות להתבסס מבחינה תפקודית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להשתלב בעבודה רציפה ולהינשא בשנית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מתקשה לקחת אחריות מלאה על מעורבותו בעבירה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טען בפני שירות המבחן כי הוא לא מכר נשק שהוסב לנשק שביכולתו להרוג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השינוי בנשק נעשה לאחר מכירתו וללא ידיעתו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גם שלל בפני שירות המבחן את המכירה הנוספת שיוחסה לו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דבריו אלו של הנאשם הבהיר בא כוח הנאשם בישיבת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שאל את הנאשם מספר פעמים האם הוא עומד על הודאתו בבית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ותשובתו של הנאשם הייתה שהוא לא חוזר בו מהודאתו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ושהדברים שכתבה קצינת המבחן נבעו מאי הבנה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לדברי בא כוחו אמר גם הנאשם עצמו כי הוא מאשר את מה שכתוב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ובכלל זה </w:t>
      </w:r>
      <w:r>
        <w:rPr>
          <w:rFonts w:ascii="David" w:hAnsi="David"/>
          <w:rtl w:val="true"/>
        </w:rPr>
        <w:t>שהסבת כלי הנשק נעשתה לפני המכירה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ושבמהלך המכירה בוצע ירי לניסיון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הוסיף ואמר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אני לא חוזר בי מההודאה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שורות </w:t>
      </w:r>
      <w:r>
        <w:rPr>
          <w:rFonts w:cs="David" w:ascii="David" w:hAnsi="David"/>
        </w:rPr>
        <w:t>12-18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בנוגע למצבו של הנאשם במעצר אני מפנה לפסקה השלישית 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בסיכומו של התסקיר מציין שירות המבחן כי מדובר בנאשם אשר מביע רצון לנהל אורח חיים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ושההליכים המשפטיים מהווים עבורו גורם מרתיע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הביע עניין בטיפול גמילה בתוך כותלי בית הכלא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שירות המבחן לאורך השנים הנאשם היה מעורב בפלילים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והגם שהוא לא ביצע עבירות מאז 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הרי שטרם מעצרו חלה נסיגה בכוחותיו לתפקד באופן יציב ותקין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בין היתר על רקע בעייתיות בהפעלת שיקול דעת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הנאשם והצבת גבולות להתנהגותו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לאור כל האמור ממליץ שירות המבחן על הטלת עונש מוחשי והרתעתי על הנאשם במטרה להציב לו גבולות ברורים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ממליץ שירות המבחן להטיל על הנאשם עונש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ולבסוף ממליץ שירות המבחן להורות לשירות בתי הסוהר לבחון את התאמתו של הנאשם לתכנית שיקומית בין כותלי הכלא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ראיות המאשימה וטיעוני המאשימה 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המאשימה הגישה כראייה גיליון הרשעות קודמות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הגיליון כולל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במגוון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בכלל זה עבירות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הטרדת 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לרכוש במזיד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תגרה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לגניבת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גניבה ממעביד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פריצה לבניין ומסחר בסמים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ההרשעה האחרונה של הנאשם היא בגין עבירה של איומים והטרדה באמצעות מתקן בזק אשר בוצעה 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בגין העבירות בהן הורשע הנאשם בעבר נגזרו עליו עונשי מאסר בפועל המסתכמים יחדיו בתקופה של </w:t>
      </w: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בטיעוניה לעונש עמדה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על כך שעבירות הנשק מהוות מכת מדינה אשר מחייבת מענה עונשי הולם על מנת להגן על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לפסיקה בה הודגש הצורך בהחמרת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ולפסיקה בגדרה נגזרו על נאשמים שהורשעו בעבירות נשק עונשים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באת כוח המאשימה הפנתה גם לכך שעל אחיו של הנאשם נגזר 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וכי על פחרי שרכש את האקדח מהנאשם נגזר עונש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לאחר שפחרי הסגיר את האקדח שרכש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מבחינת הנסיבות הקשורות בביצוע העבירה 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מכתב האישום עולה שהעיסוק בממכר כלי נשק איננו חד פעמי מבחינת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ולראייה שתחילה מכר הנאשם אקדח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מכן הוא מכר תחמושת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 מכן הוא הציע לפחרי לרכוש אקדח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פוטנציאל הנזק שעלול היה להיגרם כתוצאה מביצוע העבירה הוא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החזקת נשק לא מורשה עלולה להביא למצב שבו ייעשה 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גם הדגישה שהעבירות בוצעו למען בצע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לאור האמור עתרה המאשימה לקביעת מתחם של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ולנוכח הודאתו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 שנגזר על המעורבים האחרים עתרה המאשימה לכך שייגזר על הנאשם עונש של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באת כוח המאשימה הדגישה כי לשיטת המאשימה הנאשם הוא הרוח החיה בעבירות שבוצעו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שאחיו הורשע גם בעבירה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באת כוח המאשימה הדגישה שעברו הפלילי של הנאשם חמור מזה של אחיו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הנאשם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 כוח הנאשם טען כי את עונשו של הנאשם יש לגזור מעונשו של פחרי אבו נאב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שעליו נגזרו כזכור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בא כוח הנאשם חלקו של פחרי לא פחות חמור מחלקו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 אחיו של הנאשם טען בא כוח הנאשם כי הוא הורשע גם בעבירה של החזקת נשק ועל כן עונשו של הנאשם צריך להיות נמוך מעונשו של אחיו שעליו נגזרו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 כוח הנאשם הציג פסקי דין שבהם נגזרו על נאשמים שהורשעו בעבירות נשק עונשים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 כוח הנאשם הדגיש כי הודאתו של הנאשם חסכה מבית המשפט שמיעה של עדים רבים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 כל העדים הייתה גוזלת חודשים של שמיעת ראיות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לגבי עברו הפלילי של הנאשם טען בא כוחו שמדובר בעבר ישן שאיננו ממן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ומכל מקום הדגיש בא כוח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העבר הפלילי רלוונטי רק לצורך קביעת העונש המתאים בתוך המתחם ולא לעניין קביעת 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 כוח הנאשם הפנה בטיעוניו גם לנסיבותיו האישיות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דברי הנאשם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בסיום ישיבת הטיעונים לעונש השמיע הנאשם את דבריו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אמר כי יש לו חובות וכי בשל מצבו הכלכלי הוא לא שילם חשבונות חשמל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מים וארנונה מעל לשנתיים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לדבריו הוא קיבל טיפול שיניים בכלא אבל אין לו כסף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כדי להרכיב שיניים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שורות </w:t>
      </w:r>
      <w:r>
        <w:rPr>
          <w:rFonts w:cs="David" w:ascii="David" w:hAnsi="David"/>
        </w:rPr>
        <w:t>7-6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ציין כי בגלל מאסרו בנו הועבר לפנימייה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בסיום דבריו הנאשם התנצל והצהיר כי לא יחזור על מעשיו</w:t>
      </w:r>
      <w:r>
        <w:rPr>
          <w:rFonts w:cs="David" w:ascii="David" w:hAnsi="David"/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מתחם העונש ההולם – הערכים המוגנים ומידת הפגיעה בהם</w:t>
      </w:r>
    </w:p>
    <w:p>
      <w:pPr>
        <w:pStyle w:val="Normal"/>
        <w:spacing w:lineRule="auto" w:line="360" w:before="120" w:after="120"/>
        <w:ind w:firstLine="3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 הערכים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בהם ורמת הענישה הנגזת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לי אלא להביא בהסכמה את הדברים שנכתבו בגזר דינו של אחיו של הנאשם</w:t>
      </w:r>
      <w:r>
        <w:rPr>
          <w:rFonts w:ascii="David" w:hAnsi="David"/>
          <w:rtl w:val="true"/>
        </w:rPr>
        <w:t xml:space="preserve"> אשר שיתף עמו פעולה בעבירת הסחר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120" w:after="120"/>
        <w:ind w:firstLine="3" w:start="992" w:end="284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 xml:space="preserve">הם </w:t>
      </w:r>
      <w:r>
        <w:rPr>
          <w:rFonts w:ascii="David" w:hAnsi="David"/>
          <w:b/>
          <w:b/>
          <w:bCs/>
          <w:rtl w:val="true"/>
        </w:rPr>
        <w:t>ההגנה על שלום הציבור וביטחונו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שמירה על שלמות גופו ורכושו של אדם ומניעת פגיעה משמעותית בו כתוצאה משימוש בנשק חם על ידי מי שאינו מיומן בכך</w:t>
      </w:r>
      <w:r>
        <w:rPr>
          <w:rFonts w:cs="David" w:ascii="David" w:hAnsi="David"/>
          <w:b/>
          <w:bCs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b/>
          <w:bCs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אשר לסוחרים בנשק הדגיש בית המשפט העליון כי יש לראות במשנה חומרה את מעשיהם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 כן יש להחמיר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בענישתם של נאשמים שהורשעו בעבירות נשק בכלל ובעבירות סחר בנשק בפרט </w:t>
      </w:r>
      <w:r>
        <w:rPr>
          <w:rFonts w:cs="David" w:ascii="David" w:hAnsi="David"/>
          <w:b/>
          <w:bCs/>
          <w:rtl w:val="true"/>
        </w:rPr>
        <w:t>(</w:t>
      </w:r>
      <w:hyperlink r:id="rId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319/11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יאסין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ניתן ביום </w:t>
      </w:r>
      <w:r>
        <w:rPr>
          <w:rFonts w:cs="David" w:ascii="David" w:hAnsi="David"/>
          <w:b/>
          <w:bCs/>
        </w:rPr>
        <w:t>5.12.11</w:t>
      </w:r>
      <w:r>
        <w:rPr>
          <w:rFonts w:cs="David" w:ascii="David" w:hAnsi="David"/>
          <w:b/>
          <w:bCs/>
          <w:rtl w:val="true"/>
        </w:rPr>
        <w:t xml:space="preserve">), </w:t>
      </w:r>
      <w:hyperlink r:id="rId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1768/14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גנאיים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ניתן ביום </w:t>
      </w:r>
      <w:r>
        <w:rPr>
          <w:rFonts w:cs="David" w:ascii="David" w:hAnsi="David"/>
          <w:b/>
          <w:bCs/>
        </w:rPr>
        <w:t>22.7.14</w:t>
      </w:r>
      <w:r>
        <w:rPr>
          <w:rFonts w:cs="David" w:ascii="David" w:hAnsi="David"/>
          <w:b/>
          <w:bCs/>
          <w:rtl w:val="true"/>
        </w:rPr>
        <w:t xml:space="preserve">), </w:t>
      </w:r>
      <w:hyperlink r:id="rId1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7317/13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ניתן ביום </w:t>
      </w:r>
      <w:r>
        <w:rPr>
          <w:rFonts w:cs="David" w:ascii="David" w:hAnsi="David"/>
          <w:b/>
          <w:bCs/>
        </w:rPr>
        <w:t>19.5.14</w:t>
      </w:r>
      <w:r>
        <w:rPr>
          <w:rFonts w:cs="David" w:ascii="David" w:hAnsi="David"/>
          <w:b/>
          <w:bCs/>
          <w:rtl w:val="true"/>
        </w:rPr>
        <w:t xml:space="preserve">), 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8280/15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גולאני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>, (</w:t>
      </w:r>
      <w:r>
        <w:rPr>
          <w:rFonts w:ascii="David" w:hAnsi="David"/>
          <w:b/>
          <w:b/>
          <w:bCs/>
          <w:rtl w:val="true"/>
        </w:rPr>
        <w:t xml:space="preserve">ניתן ביום </w:t>
      </w:r>
      <w:r>
        <w:rPr>
          <w:rFonts w:cs="David" w:ascii="David" w:hAnsi="David"/>
          <w:b/>
          <w:bCs/>
        </w:rPr>
        <w:t>28.3.16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120" w:after="120"/>
        <w:ind w:start="992" w:end="284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שהוא מטבעו כלי קטלני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עלול לעבור מיד ליד ולהגיע לידי גורמים שיבצעו באמצעותו עבירות פליליות חמורות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ואף לידי ארגוני טרור שיעשו בו שימוש באירועי טרור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פוטנציאל הסיכון הנשקף מהסחר בו מחייב הטלת ענישה מחמירה ומרתיעה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 אם מבצעי העבירות – בחוליות השונות בשרשרת העברת הנשק – אינם מודעים לתכלית השימוש בו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עוד נפסק כי בשל הסכנה הרבה הטמונה בעבירות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מוצדק להטיל עונשי מאסר בפועל גם על מי שזוהי עבורו הרשעתו הראשונה בפלילים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פני הנסיבות האישיות של העבריין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כב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השופט צ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זילברטל  חזר על כך ב</w:t>
      </w:r>
      <w:hyperlink r:id="rId1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lang w:eastAsia="he-IL"/>
          </w:rPr>
          <w:t>6989/13</w:t>
        </w:r>
      </w:hyperlink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 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rFonts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מיום </w:t>
      </w:r>
      <w:r>
        <w:rPr>
          <w:rFonts w:cs="David" w:ascii="David" w:hAnsi="David"/>
          <w:b/>
          <w:bCs/>
          <w:lang w:eastAsia="he-IL"/>
        </w:rPr>
        <w:t>25.2.14</w:t>
      </w:r>
      <w:r>
        <w:rPr>
          <w:rFonts w:cs="David" w:ascii="David" w:hAnsi="David"/>
          <w:b/>
          <w:bCs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חזר לא אחת על הסכנה הרבה הטמונה בעבירות נשק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מדיניות הענישה הנהוגה בעבירות אלה היא מדיניות של ענישה מחמירה המחייבת בדרך כלל הטלת עונשי מאסר לריצוי בפועל גם על מי שזו הרשעתו הראשונה </w:t>
      </w:r>
      <w:r>
        <w:rPr>
          <w:rFonts w:cs="David" w:ascii="David" w:hAnsi="David"/>
          <w:b/>
          <w:bCs/>
          <w:rtl w:val="true"/>
        </w:rPr>
        <w:t>(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אסדי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>))... "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120" w:after="120"/>
        <w:ind w:start="992" w:end="284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>המגמה להחמיר בענישה בעבירות נשק באה לידי ביטוי בשורה ארוכה של פסק דין שניתנו על ידי בית משפט העליון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רך חסן  נגד מדינת ישראל 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ניתן ביום </w:t>
      </w:r>
      <w:r>
        <w:rPr>
          <w:rFonts w:cs="David" w:ascii="David" w:hAnsi="David"/>
          <w:b/>
          <w:bCs/>
        </w:rPr>
        <w:t>5.6.13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שם קבעה כבוד השופטת ע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ארבל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417" w:end="851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המימדים שאליהם נוכח היקפן המתרחב של עבירות המבוצעות בנשק בכלל וסחר בנשק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הסכנה הנשקפת לציבור כתוצאה מעבירות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בהדרגה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מתחם העונש ההולם – הענישה הנוהגת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באת כוח המאשימה הפנתה בטיעוניה למספר גזרי דין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3281/19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כריסי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25.9.19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נדון עניינו של מערער אשר הורשע בעבירות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 עליו עונש של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לאחר שהוא הודה בכך שמכר לסוכן משטרתי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ושני כדורים בתמורה לסכום של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בית המשפט העליון דחה את ערעורו של המערער על חומרת העונש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זאת חרף העובדה שהיה מדובר במערער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וחרף העובדה שהוא החל להשתלב במסגרת שיקומית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הדגיש כי למערער היו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מהן שתיים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אין מקום להתערב בגזר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16.8.18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נדון עניינם של  נאשמים אשר הורשעו בעבירות של סחר בנשק ובתחמושת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קשירת קשר לסחר בנשק ובעבירות נלוות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 xml:space="preserve">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בכירים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מבין הנאשמים נגזרו עונשים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על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זוטרים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שבהם נגזרו עונשים של שנה עד שלוש 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גזרי הדין הוגשו ערעורים הן מטעם חלק מהנאשמים והן מטעם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כל הערעורים למעט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בפסק דינו הדגיש בית המשפט העליון את החומרה הרבה שבה יש לראות עבירות של סחר בלתי 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בין היתר לנוכח היקף התופעה והתפשטותה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שנסיבות</w:t>
      </w:r>
      <w:r>
        <w:rPr>
          <w:rFonts w:ascii="David" w:hAnsi="David"/>
          <w:rtl w:val="true"/>
        </w:rPr>
        <w:t>יהן של</w:t>
      </w:r>
      <w:r>
        <w:rPr>
          <w:rFonts w:ascii="David" w:hAnsi="David"/>
          <w:rtl w:val="true"/>
        </w:rPr>
        <w:t xml:space="preserve"> העבירות שבהן עסק פסק הדין בעניין </w:t>
      </w:r>
      <w:r>
        <w:rPr>
          <w:rFonts w:ascii="David" w:hAnsi="David"/>
          <w:b/>
          <w:b/>
          <w:bCs/>
          <w:rtl w:val="true"/>
        </w:rPr>
        <w:t xml:space="preserve">בראנסי </w:t>
      </w:r>
      <w:r>
        <w:rPr>
          <w:rFonts w:ascii="David" w:hAnsi="David"/>
          <w:rtl w:val="true"/>
        </w:rPr>
        <w:t>חמורות בהרבה מנסיבות העבירה שבוצעה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מבחינת היקף העסקאות שבוצעו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מבחינת סוג כלי הנשק</w:t>
      </w:r>
      <w:r>
        <w:rPr>
          <w:rFonts w:ascii="David" w:hAnsi="David"/>
          <w:rtl w:val="true"/>
        </w:rPr>
        <w:t xml:space="preserve"> שנמכרו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כן קשה ללמוד מפסק דין זה לעניינו של הנאשם שלפניי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 כוח הנאשם הפנה לפסקי דין שבמסגרתם נגזרו עונשים קלים יותר על מי שהורשעו בעבירות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50551-03-18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עטיה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13.12.18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נגזר על נאשם שהורשע על יסוד הודאתו בעבירה של סחר בנשק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יצוין כי היה מדובר בעסקה שבמסגרתה מכר הנאשם אקדח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לסוכן משטרתי שאף בדק את תקינות הנשק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ביצוע 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לא היו הרשעות קודמות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20425-02-20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מזערו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13.10.20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נגזר על נאשם שהורשע על יסוד הודאתו בביצוע עבירה של סחר בנשק עונש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פי עובדות כתב האישום הנאשם מכר אקדח לסוכן משטרתי תמורת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 לאחר שהוא הציע לסוכן לבחור בין אקדח זה לבין אקדח מסוג גלוק שגם הועמד למכירה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במקרה זה היה מדובר בנאשם ללא עבר פלילי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52515-03-20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שוויש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19.10.20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נגזר על נאשם שהורשע על יסוד הודאתו בעבירה של החזקת נשק עונש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האמור בכתב האישום הנאשם נתפס כשהוא החזיק ברכב שבו נסע תת מקלע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נסיבותיו של פסק דין זה שונות לחלוטין מנסיבות העניין שלפניי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ולפיכך אין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כדי ללמד לענייננו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מתחם העונש ההולם – הנסיבות הקשורות בביצוע העבירה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נסיבות ביצוע העבירה מלמדות על כך שמעשהו של הנאשם חמור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מדובר בעבירה שבוצעה תוך תכנון מראש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מדובר</w:t>
      </w:r>
      <w:r>
        <w:rPr>
          <w:rFonts w:ascii="David" w:hAnsi="David"/>
          <w:rtl w:val="true"/>
        </w:rPr>
        <w:t xml:space="preserve"> בעבירה חד פעמית </w:t>
      </w:r>
      <w:r>
        <w:rPr>
          <w:rFonts w:ascii="David" w:hAnsi="David"/>
          <w:rtl w:val="true"/>
        </w:rPr>
        <w:t>שבוצעה בשל כישלון רגעי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</w:t>
      </w:r>
      <w:r>
        <w:rPr>
          <w:rFonts w:ascii="David" w:hAnsi="David"/>
          <w:rtl w:val="true"/>
        </w:rPr>
        <w:t xml:space="preserve">מדובר בעבירה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מתגלגלת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תחילה בוצעה ה</w:t>
      </w:r>
      <w:r>
        <w:rPr>
          <w:rFonts w:ascii="David" w:hAnsi="David"/>
          <w:rtl w:val="true"/>
        </w:rPr>
        <w:t xml:space="preserve">מכירה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ראשונה של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לאחריה בוצעה מכירה של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לאחריה הוצע לרוכש להחליף את הנשק בנשק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נסיבות אלו מלמדות </w:t>
      </w:r>
      <w:r>
        <w:rPr>
          <w:rFonts w:ascii="David" w:hAnsi="David"/>
          <w:rtl w:val="true"/>
        </w:rPr>
        <w:t>על נחישותו של הנאשם לסחור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על מעורבות</w:t>
      </w:r>
      <w:r>
        <w:rPr>
          <w:rFonts w:ascii="David" w:hAnsi="David"/>
          <w:rtl w:val="true"/>
        </w:rPr>
        <w:t>ו הבלתי אמצעית</w:t>
      </w:r>
      <w:r>
        <w:rPr>
          <w:rFonts w:ascii="David" w:hAnsi="David"/>
          <w:rtl w:val="true"/>
        </w:rPr>
        <w:t xml:space="preserve"> של הנאשם בעולם הסחר 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חלקו של הנאשם בביצוע עבירת הסחר בנשק דומה לחלקו של אחיו ואף עולה במעט עליו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האמור בכתב האישום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הפניה הראשונה של רוכש הנשק הייתה אל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ההצעה לרוכש הנשק להחליף את הנשק באה גם היא מטעמו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הוא זה שניהל את המשא ומתן בנוגע לאפשרות של רכישת הנשק החדש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לזכור שאחיו של הנאשם הורשע בעבירה נוספת של החזקת 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 שהתבססה</w:t>
      </w:r>
      <w:r>
        <w:rPr>
          <w:rFonts w:ascii="David" w:hAnsi="David"/>
          <w:rtl w:val="true"/>
        </w:rPr>
        <w:t xml:space="preserve"> על כך שהאקדח שנמכר לרוכש הוחזק בביתו של האח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הנזק הצפוי מ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עבירה של סחר בנשק הוא מעצם טיבו נזק חמור של פגיעה בגוף ואף אבדן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אדם הרוכש נשק עלול להשתמש בו באופן 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ומי שמוכר </w:t>
      </w:r>
      <w:r>
        <w:rPr>
          <w:rFonts w:ascii="David" w:hAnsi="David"/>
          <w:rtl w:val="true"/>
        </w:rPr>
        <w:t>לו את הנשק מלמד על עצמו שהוא אדיש לסיכון שהוא יוצר במעשהו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הלכה למעשה במקרה שלפניי הנזק הפוטנציאלי לא התממש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 בנשק שנמכר לא נעשה שימוש והוא נתפס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את העבירה ביצע הנאשם מתוך מניע של בצע 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מוסיף חומרה למעשיו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ביצע את העבירה בהיותו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 שאין ספק שהוא הבין היטב את משמעות מעשהו ואת הפסול שיש 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במקרה שלפניי יש לתת משקל של ממש לגזר הדין שניתן בעניינו של אחיו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אחיו של הנאשם נגזרו 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עמדתי לעיל על כך שחלקו של הנאשם בעבירת הסחר בנשק זהה ואף גבוה במעט מחלקו של אחיו בעבירה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 הורשע בעבירה נוספת של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 כל האמור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ובהתחשב בכך שבעניינו של האח הועמד מתחם העונש ההולם בגין שתי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עבירות בהן הוא הורשע על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מעמיד את מתחם העונש ההולם בעניינו של הנאשם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בעבירה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לזכותו של הנאשם יש לזקוף את העובדה שהוא הודה במיוחס לו ובכך חסך מזמנה של המאשימה ומזמנו של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הודאה באשמה מלמדת גם על נטילת אחריו מסוימת מצד הנאשם על מעשהו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ניתן להתעלם מהתרשמות שירות המבחן לפיה הנאשם מתקשה לקחת אחריות מלאה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 בעבירה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לזכותו של הנאשם יש לזקוף גם את מצבו הנפשי כפי שהוא משתקף מן האמור בפסקה השלישית 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יחד עם זאת יש לתת לעניין זה משקל מוגבל בלבד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נוכח התרשמות שירות המבחן לפי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פעולות מסוימות שביצע הנאשם במהלך תקופות המאסר </w:t>
      </w:r>
      <w:r>
        <w:rPr>
          <w:rFonts w:ascii="David" w:hAnsi="David"/>
          <w:rtl w:val="true"/>
        </w:rPr>
        <w:t xml:space="preserve">הקודמות </w:t>
      </w:r>
      <w:r>
        <w:rPr>
          <w:rFonts w:ascii="David" w:hAnsi="David"/>
          <w:rtl w:val="true"/>
        </w:rPr>
        <w:t>שהוא ריצה בעבר נועדו ככל הנראה להשגת רווח משני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 ניתן להתרשם מהחומר שהוגש כי העונש הצפוי לנאשם עלול לפגוע בו במידה העולה על הנזק הצפוי לכל אדם אשר נגזר עליו עונש של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כאמור בתסקיר שירות 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מלבד הודאתו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תיזקף כאמור לזכותו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להצביע על מעשה של ממש הוא עשה לשם חזרתו למוטב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 יש לתת משקל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קטן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לכך שהנאשם שואף לעבור הליך שיקומי במסגרת בית הכלא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נסיבות חייו של הנאשם לא היו קלות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 הן לא יוצאות דופן במידה המצדיקה הקלה בעונש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לנאשם עבר פלילי מכביד למדי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עמדנו לעיל על כך שלנאשם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ועל כך שהנאשם ריצה עונשי מאסר לתקופות המסתכמות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למרבה הצער העונשים שנגזרו על הנאשם לא הרתיעו אותו מביצוע העבירה הנוכחית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יחד עם זאת יש להביא בחשבון שהעבירה האחרונה שבה הורשע הנאשם בוצעה 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עברו הפלילי של הנאשם לא מאפשר למקם את העונש המתאים ברף הנמוך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שנעשה לגבי אחיו שעברו הפלילי הרבה פחות מכביד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לאור כל האמור יש למקם את העונש המתאים של הנאשם </w:t>
      </w:r>
      <w:r>
        <w:rPr>
          <w:rFonts w:ascii="David" w:hAnsi="David"/>
          <w:rtl w:val="true"/>
        </w:rPr>
        <w:t>בשליש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האמצעי </w:t>
      </w:r>
      <w:r>
        <w:rPr>
          <w:rFonts w:ascii="David" w:hAnsi="David"/>
          <w:rtl w:val="true"/>
        </w:rPr>
        <w:t>של 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אני גוזר על הנאשם את העונשים שלהלן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בניכוי ימי מעצרו של הנאשם בהתאם לרישומי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635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בהתאם להמלצת שירות המבחן מתבקשות רשויות שב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 לבחון את התאמתו של הנאשם לתכנית שיקומית בכלא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אותם ירצה הנאשם בפועל אם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מהכלא הוא יעבור עבירת נשק כלשהי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915" w:start="163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קנס בסכום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שווים ורצופים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1.5.22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ובכל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 בחודשים שלאחר מכן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הודע לנאשם על זכותו לערער לבית המשפט העליון בתוך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bookmarkStart w:id="11" w:name="Nitan"/>
      <w:r>
        <w:rPr>
          <w:rFonts w:ascii="David" w:hAnsi="David"/>
          <w:rtl w:val="true"/>
        </w:rPr>
        <w:t>ניתן והודע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 סיוון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 הצדדים</w:t>
      </w:r>
      <w:r>
        <w:rPr>
          <w:rFonts w:cs="David" w:ascii="David" w:hAnsi="David"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66319-05-20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אדם נאסר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635" w:hanging="915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699080" TargetMode="External"/><Relationship Id="rId9" Type="http://schemas.openxmlformats.org/officeDocument/2006/relationships/hyperlink" Target="http://www.nevo.co.il/case/13023134" TargetMode="External"/><Relationship Id="rId10" Type="http://schemas.openxmlformats.org/officeDocument/2006/relationships/hyperlink" Target="http://www.nevo.co.il/case/8471804" TargetMode="External"/><Relationship Id="rId11" Type="http://schemas.openxmlformats.org/officeDocument/2006/relationships/hyperlink" Target="http://www.nevo.co.il/case/20775010" TargetMode="External"/><Relationship Id="rId12" Type="http://schemas.openxmlformats.org/officeDocument/2006/relationships/hyperlink" Target="http://www.nevo.co.il/case/8291683" TargetMode="External"/><Relationship Id="rId13" Type="http://schemas.openxmlformats.org/officeDocument/2006/relationships/hyperlink" Target="http://www.nevo.co.il/case/5878682" TargetMode="External"/><Relationship Id="rId14" Type="http://schemas.openxmlformats.org/officeDocument/2006/relationships/hyperlink" Target="http://www.nevo.co.il/case/5578534" TargetMode="External"/><Relationship Id="rId15" Type="http://schemas.openxmlformats.org/officeDocument/2006/relationships/hyperlink" Target="http://www.nevo.co.il/case/5601503" TargetMode="External"/><Relationship Id="rId16" Type="http://schemas.openxmlformats.org/officeDocument/2006/relationships/hyperlink" Target="http://www.nevo.co.il/case/6473037" TargetMode="External"/><Relationship Id="rId17" Type="http://schemas.openxmlformats.org/officeDocument/2006/relationships/hyperlink" Target="http://www.nevo.co.il/case/25694662" TargetMode="External"/><Relationship Id="rId18" Type="http://schemas.openxmlformats.org/officeDocument/2006/relationships/hyperlink" Target="http://www.nevo.co.il/case/23750625" TargetMode="External"/><Relationship Id="rId19" Type="http://schemas.openxmlformats.org/officeDocument/2006/relationships/hyperlink" Target="http://www.nevo.co.il/case/23811621" TargetMode="External"/><Relationship Id="rId20" Type="http://schemas.openxmlformats.org/officeDocument/2006/relationships/hyperlink" Target="http://www.nevo.co.il/case/26438816" TargetMode="External"/><Relationship Id="rId21" Type="http://schemas.openxmlformats.org/officeDocument/2006/relationships/hyperlink" Target="http://www.nevo.co.il/case/26568495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2022-02-23T11:25:00Z</dcterms:created>
  <dc:creator> </dc:creator>
  <dc:description/>
  <cp:keywords/>
  <dc:language>en-IL</dc:language>
  <cp:lastModifiedBy>h1</cp:lastModifiedBy>
  <dcterms:modified xsi:type="dcterms:W3CDTF">2022-02-23T11:25:00Z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אדם נאסר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5699080;13023134;8471804;20775010;8291683;5878682;5578534;5601503;6473037;25694662;23750625;23811621;26438816;26568495</vt:lpwstr>
  </property>
  <property fmtid="{D5CDD505-2E9C-101B-9397-08002B2CF9AE}" pid="9" name="CITY">
    <vt:lpwstr>י-ם</vt:lpwstr>
  </property>
  <property fmtid="{D5CDD505-2E9C-101B-9397-08002B2CF9AE}" pid="10" name="DATE">
    <vt:lpwstr>20210530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70301/144.b2;029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66319</vt:lpwstr>
  </property>
  <property fmtid="{D5CDD505-2E9C-101B-9397-08002B2CF9AE}" pid="22" name="NEWPARTB">
    <vt:lpwstr>05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390020210530</vt:lpwstr>
  </property>
  <property fmtid="{D5CDD505-2E9C-101B-9397-08002B2CF9AE}" pid="34" name="TYPE_N_DATE">
    <vt:lpwstr>39020210530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