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67387-08-23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רומאן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514"/>
        <w:gridCol w:w="5383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מרדכי כדורי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514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38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ליזו וולפוס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דולי מזעל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מפרקליטות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51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38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סלמאן רומאן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חיים הדיה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בן מעוז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6" w:name="ABSTRACT_START"/>
      <w:bookmarkEnd w:id="6"/>
      <w:r>
        <w:rPr>
          <w:rFonts w:ascii="David" w:hAnsi="David"/>
          <w:rtl w:val="true"/>
        </w:rPr>
        <w:t>הנאשם הורשע על פי הודאתו 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נשיאת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אביזר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b/>
          <w:b/>
          <w:bCs/>
          <w:rtl w:val="true"/>
        </w:rPr>
        <w:t>והחזקת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אביזרי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 בחוק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הסדר הטיעון לא כלל הסכמה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תמצית עובדות כתב האישום מתוקן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21/08/2023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שהנאשם תיקן את רכבו במוסך בבית לחם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קיבל מאחר קופסה שתכולתה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אקדח חצי אוטומטי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טעון במחסנית ובה שמונה כדורים בקוטר תשעה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82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 תחמושת בקוטר תשעה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49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 תחמיש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בקוטר </w:t>
      </w:r>
      <w:r>
        <w:rPr>
          <w:rFonts w:cs="David" w:ascii="David" w:hAnsi="David"/>
        </w:rPr>
        <w:t>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שתי קופסאות תחמושת ובהן </w:t>
      </w:r>
      <w:r>
        <w:rPr>
          <w:rFonts w:cs="David" w:ascii="David" w:hAnsi="David"/>
        </w:rPr>
        <w:t>158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נשא את הנשק והתחמושת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והחזיקם בחדר השינה במשך יממה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 נמצאו על ידי כוחות המשטרה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ראיות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הוגשו ראיות לעונש מטעם הצדדים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תסקיר שירות מבחן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הגיש בעניינו של הנאשם שני תסקירים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פירט את 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הנורמטיביות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הבריאותיות והכלכליות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האמור בתסקירים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כבן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מזה חמש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לשני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נקלע לחובות כבדים כתוצאה מכך שהשתמש בכל חסכונותיו לצורך הקמת 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שנסגר לאחר כעשרה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למעלה משנה קודם למעצרו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קיבל על עצמו אחריות למעשיו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עבר את העבירות בהן הורשע מתוך חוסר אונים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המצב הכלכלי אליו נקלע ומתוך חיפוש אחר מקור 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מכיר בבעייתיות שבהתנהלותו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מבין שפעל בחוסר שיקול דעת ולא רואה את עצמו כבעל מאפיינים אלימים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הביע לפני קצינת המבחן רצון להשתלב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לבחון את מניעי ודפוסי התנהגותו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כגורמי סיכון בעניינו של הנאשם מנה שירות המבחן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חומרת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המורכבות המשפחתית בה הנאשם גדל והיעדרה של דמות אב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הכלכליים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וההתרשמות כי הוא עלול לפעול מתוך שיקול קר של צרכיו האישיים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להכיר במשמעות מעשיו והשלכותיהם החמורות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 נמנו בתסקיר גם גורמי סיכוי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היעדר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דברי הנאשם כי ניהל אורח חיים תקין ונורמטיבי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חיי משפחה תקינים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ויציבות תעסוקתית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 ציין שירות המבחן כי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הנאשם משולב במסגרת מעצרו בתפקיד תומך לאסירי השגחה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תפקודו תקין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 נרשמו לחובתו עבירות משמעת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 נמצאו ממצאים חריגים בבדיקת שתן שנערכה לו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והוא משולב בקבוצת תקון ובקבוצת הכנה לטיפול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בהתחשב באמור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בקבלת האחריות של הנאשם ובחומרת העבירות שעבר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שירות המבחן להטיל עליו עונש מאסר בפועל מוגבל בזמן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והתחייבות להימנע מעבירה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טיעונים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טענה כי מתחם העונש ההולם למעשי העבירה שהנאשם עבר נע בין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68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וביקשה להטיל עליו עונש מאסר בפועל למשך </w:t>
      </w: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 משמעותי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פירטה כי הנאשם פגע במעשיו בערכים מוגנים ידועים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פגיעה בשלמות גופו של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 הציבור וביטחון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לפסיקתו של בית המשפט העליון יש להחמיר בענישה בגין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שהפכו למכת 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הדגישה כי הנאשם קיבל מאחר נשק טעון ותחמושת רבה מסוגים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אותם והחזיק אותם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בחדר השינה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האקדח נותר טעון וזמין לשימוש בכל רגע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פוטנציאל הנזק 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עצום – עד כדי אובדן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רק בשל כך שמשטרת ישראל תפסה את הנשק והתחמושת נמנע מהנאשם להמשיך בביצוע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הפנתה לכך שבצדן של העבירות בהן הנאשם הורשע נקבעו עונשי מינימום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עבירת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עבירה של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הפנתה לפסקי הדין שלהלן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לתמיכה בעמדתה בנוגע למתחם העונש ההולם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5602/22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</w:rPr>
        <w:t>14/9/2022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נקבע כי מתחם העונש הרגיל שראוי לקבוע לנאשם בגיר בגין נשיאה בלתי חוקית של נשק חם במרחב הציבורי נע 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24670-05-23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גזייל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13/11/2023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נגזר דינו של נאשם שנשא והוביל 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במושב האחורי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 חצי אוטומטי מסוג גלוק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 טעון במחסנית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פ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שלום באר שבע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35396-04-22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אלהוזייל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29/12/2022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נגד נאשם שהורשע בעבירות של החזקת נשק והתנגדות למעצר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נמלט מפני שוטר והסתתר בין שיחים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 זה הנאשם החזיק אקדח חצי אוטומטי מסוג וולטר שהטמין בין השיחים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ובמחסנית </w:t>
      </w:r>
      <w:r>
        <w:rPr>
          <w:rFonts w:ascii="David" w:hAnsi="David"/>
          <w:rtl w:val="true"/>
        </w:rPr>
        <w:t>הטעונה בשישה כדורי תשעה מ</w:t>
      </w:r>
      <w:r>
        <w:rPr>
          <w:rFonts w:cs="David" w:ascii="David" w:hAnsi="David"/>
          <w:rtl w:val="true"/>
        </w:rPr>
        <w:t>''</w:t>
      </w:r>
      <w:r>
        <w:rPr>
          <w:rFonts w:ascii="David" w:hAnsi="David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אותה החזיק בכיסו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התנגד למעצרו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זקפה לזכותו של הנאשם את עברו הפלילי הנקי ואת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שניתנה עוד במהלך חקירתו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לפני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 עמדה על הצורך להרתיע את היחיד ואת הרבים מלעבור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וחזרה והדגישה את הצורך בהחמרת הענישה בגינן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המתאים לנאשם עומד בחלקו התחתון של מתחם העונש לו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ברף התחתון שלו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טענה כי מתחם העונש ההולם נע בין מספר חודשי מאסר לבין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וביקשה להסתפק בתקופת מעצרו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כשישה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ולכל היותר עשרה או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המתאים לנאשם עומד בתחתית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הסנגורים הפנו לעובדות כתב האישום ודייקו מספר נתונים עובדתיים העולים מהן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הנאשם לא תכנן מראש את ביצוע העבירה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לא הכיר את האדם שמסר לו את הקופסה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תכולתה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לא נשא את האקדח על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בקופסה סגורה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האקדח היה טעון 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דרוך ולא טעון בכדור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החזיק בנשק יממה אחת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נטען שהנאשם נשא את הנשק לצורך מטרה נפשעת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עובדות אלה מלמדות שהסיכון שהנאשם יצר לא חמור במידה הנטענת על ידי המאשימה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 טענה ההגנה כי אלמלא הודאתו המלאה של הנאשם בעת חקירתו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היה לייחס לו עבירה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עבירה של החזקת נשק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 החזקת הנשק נבלעת בעבירת נשיאת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לתמיכה בעמדתה הפנתה ההגנה לפסקי הדין שיפורטו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נקבעו מתחמי ענישה מתונים בהרבה מהמתחם לו טענה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לא התעלמה מכך שחלק מגזרי דין ניתנו בבית משפט השלום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טענה כי הנסיבות שנדונו בהם חמורות יותר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14836-08-12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גועבה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18/2/2013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בעניינו של נאשם שהורשע בעבירה של החזקת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החזיק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בסלון 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בתוך ארון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 מסוג ברטה ושתי מחסניות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טעונות בארבעה עשר ובשלושה עשר 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 עטופים במגבת וטמונים בשקית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שישה חודשי מאסר בפועל לבין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10556-10-17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עואד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27/12/2017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בו נדון נאשם שהורשע בעבירות של החזקת נשק והחזקת אביזר נשק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החזיק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בתוך שקית בחצר הסמוכה לביתו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באקדח שהיה בבעלותו של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 טעון במחסנית ובה עשרה 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החזיק בתוך כפפה מתחת למזרון בתוך ערימת זבל במרחק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 מביתו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באקדח ובו מחסנית לא טעונה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למעשי העבירה שהנאשם עבר נע בין שמונה חודשי מאסר בפועל לבין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7996-08-16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 זיאד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20/4/2017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בו נדון נאשם שהורשע בעבירה של החזקת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רכש רובה דמוי תת מקלע מאולתר מסוג קרל גוסטב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מחסנית ובה שני כדורים ועוד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הביא אותם לביתו באל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עזריה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והחביא אותם תחת מרצפה רופפת בחלון המטבח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הנאשם החזיק בביתו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 אקדח על המזגן בחדר השינה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שמונה חודשי מאסר בפועל לבין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והוטל על הנאשם עונש מאסר בפועל למשך שמונה 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 שהנאשם הגיש על גזר הדין התקבל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ועונשו הופחת והועמד על שישה חודשי מאסר בפועל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נוכח גילו של הנאשם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עברו הנקי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תפקודו והודאתו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26254-06-17</w:t>
        </w:r>
      </w:hyperlink>
      <w:r>
        <w:rPr>
          <w:rFonts w:cs="Calibri" w:ascii="Calibri" w:hAnsi="Calibri"/>
          <w:rtl w:val="true"/>
        </w:rPr>
        <w:t xml:space="preserve">‏ </w:t>
      </w:r>
      <w:r>
        <w:rPr>
          <w:rFonts w:ascii="Calibri" w:hAnsi="Calibri" w:cs="Calibri"/>
          <w:b/>
          <w:b/>
          <w:bCs/>
          <w:rtl w:val="true"/>
        </w:rPr>
        <w:t>אבו זיאד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29/10/2017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8338-12-13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זידאן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18/9/2014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נקבע כי מתחם העונש ההולם למעשה עבירה של נשיאת והובלת רימון הלם נע בין שישה חודשי מאסר בפועל לבין שלוש שנות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54202-01-23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מנגיסטו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22/10/2023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 הורשע בשתי עבירות של סחר בנשק ובעבירה של נשיאת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הוביל שלושה רימוני הלם מירושלים למבשרת ציון ומכר שניים מהם לסוכן משטרתי תמורת סך של </w:t>
      </w:r>
      <w:r>
        <w:rPr>
          <w:rFonts w:cs="Calibri" w:ascii="Calibri" w:hAnsi="Calibri"/>
        </w:rPr>
        <w:t>1,600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לאחר מספר ימים הנאשם הוביל רימון הלם ומכר אותו לסוכן תמורת סך של </w:t>
      </w:r>
      <w:r>
        <w:rPr>
          <w:rFonts w:cs="Calibri" w:ascii="Calibri" w:hAnsi="Calibri"/>
        </w:rPr>
        <w:t>800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  <w:tab/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5807/20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שיבלי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30/12/2020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נדון ערעור שהגיש נאשם אשר נדון בבית המשפט המחוזי לעונש מאסר בפועל למשך 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שהורשע בעבירה של נשיאת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המערער </w:t>
      </w:r>
      <w:r>
        <w:rPr>
          <w:rFonts w:ascii="Calibri" w:hAnsi="Calibri" w:cs="Calibri"/>
          <w:b/>
          <w:b/>
          <w:rtl w:val="true"/>
        </w:rPr>
        <w:t>נשא והוביל ברכב תת מקלע מאולתר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קיבל את הערעור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והעמיד את עונשו על תשעה חודשי מאסר שירוצו בדרך של עבודות 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</w:t>
      </w:r>
      <w:r>
        <w:rPr>
          <w:rFonts w:cs="Calibri" w:ascii="Calibri" w:hAnsi="Calibri"/>
          <w:rtl w:val="true"/>
        </w:rPr>
        <w:t>: "</w:t>
      </w:r>
      <w:r>
        <w:rPr>
          <w:rFonts w:cs="Century" w:ascii="Century" w:hAnsi="Century"/>
          <w:b/>
          <w:bCs/>
          <w:sz w:val="20"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עניין לנו במקרה חריג שבחריגים</w:t>
      </w:r>
      <w:r>
        <w:rPr>
          <w:rFonts w:cs="Calibri" w:ascii="Calibri" w:hAnsi="Calibri"/>
          <w:b/>
          <w:bCs/>
          <w:rtl w:val="true"/>
        </w:rPr>
        <w:t xml:space="preserve">.... </w:t>
      </w:r>
      <w:r>
        <w:rPr>
          <w:rFonts w:ascii="Calibri" w:hAnsi="Calibri" w:cs="Calibri"/>
          <w:b/>
          <w:b/>
          <w:bCs/>
          <w:rtl w:val="true"/>
        </w:rPr>
        <w:t>המצדיקות חריגה לקולא ממתחם העונש ההולם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cs="Calibri" w:ascii="Calibri" w:hAnsi="Calibri"/>
          <w:rtl w:val="true"/>
        </w:rPr>
        <w:t xml:space="preserve">"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.</w:t>
        <w:tab/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811-04-23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מגיס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19/12/2023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 רכש אקדח ומחסנית תואמת תמורת סכום שאינו ידוע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מספר ימים הנאשם החזיר את האקדח בטענה שאינו תקין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 כך הנאשם הורשע בהסדר טיעון בעבירה של רכישת והחזקת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</w:t>
      </w:r>
      <w:r>
        <w:rPr>
          <w:rFonts w:ascii="David" w:hAnsi="David"/>
          <w:rtl w:val="true"/>
        </w:rPr>
        <w:t xml:space="preserve">מתחם העונש ההולם 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  <w:tab/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1505/14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לידאוי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4/11/2014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נדון ערעור שהגיש נאשם שהורשע בכך שקיבל אקדח החשוד כגנוב ובו מחסנית מלאה בכדורים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במועד אחר המערער קיבל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 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הטמין בארון ביתו את האקדח כשהוא טעון במחסנית וכדור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 הכדורים הנוספים הניח בתוך נרתיק על ארון בגדים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 שבו כל אחד מבני ביתו יכול היה למצוא אותם ולעשות בהם 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 שוטרים הגיעו לביתו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ניסה לעכב את כניסתם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 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כבת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הוציאה את האקדח ממקום המסתור והטמינה אותו מתחת לתחתוניה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 מעשים אלה הנאשם הורשע בעבירות של החזקת 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נשיאת 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מעשה פזיזות ורשלנות בכלי ירייה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הפרעה לשוטר במילוי תפקידו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והחזקת רכוש החשוד כגנוב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קבע כי מתחם העונש ההולם הנע בין שבעה חודשי מאסר בפועל לבין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והטיל על המערער עונש של </w:t>
      </w:r>
      <w:r>
        <w:rPr>
          <w:rFonts w:ascii="Century" w:hAnsi="Century" w:cs="Century"/>
          <w:sz w:val="22"/>
          <w:sz w:val="22"/>
          <w:rtl w:val="true"/>
        </w:rPr>
        <w:t>שמונה 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קיבל את הערעור והעמיד את עונשו של המערער על שישה חודשי מאסר בדרך של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 בנסיבותיו האישיות המיוחדות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>.</w:t>
        <w:tab/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545/20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3/5/2021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נדחה ערעור שהגיש נאשם שהורשע בעבירות של נשיאת והחזקת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הוביל והחזיק ברכב בו נהג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מתחת למושב הנהג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 חצי אוטומטי מסוג חילוואן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 טעון במחסנית ריקה תואמת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המערער נשא והחזיק על גופו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 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 כי האקדח לא היה תקין ולא ניתן היה לבצע בו ירי במועד תפיסתו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קבע שמתחם העונש ההולם נע בין עשרה חודשי מאסר בפועל לבין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וכי העונש המתאים למערער עומד על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>.</w:t>
        <w:tab/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5765/20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 בכר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22/3/2021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שני המערערים נסעו 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 נשאו והובילו שני אקדחים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 אחד מאקדחים היה טעון במחסנית מלאה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ששוטרים ביקשו מהמערערים לעצור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 אחד מהם מהרכב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רץ אל חצר בית סמוך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השליך שם את האקדחים והמחסניות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ושב אל 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ערעור שהגישו על עונש מאסר למשך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שהוטל עליהם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באי כוח הנאשם הוסיפו וטענו כי התסקיר בעניינו הוא חיובי וממליץ להגביל את תקופת המאסר שתוטל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מקבל על עצמו אחריות מלאה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שולב מיוזמתו בהליך שיקומי ומעוניין לבחון את דפוסי התנהלותו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העובדה שהוא משמש בתפקיד תומך לאסירי השגחה מלמדת ששירות בתי הסוהר עמד על טיבו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 אותו שונה מאחרים ומתאים לא רק לשקם את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גם לפעול לטובתם של אסירים אחרים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פנה לבית המשפט בבכי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רחמים והביע בושה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חרטה וקבלת אחריות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טען כי הוא מעוניין להשתקם ומבקש לחזור לחייו ולילדיו הקטנים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 העונש ההולם למעשה העבירה שעבר הנאשם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הפסיקה חזרה ועמדה על כך שעבירות הנשק פוגעות בערכים חברתיים רמי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והשמירה על סדרי חיים תקינים ושלווים שאינם מופרעים על ידי אדם האוחז נשק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בעבירות שהפכו זה מכבר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על החברה להילחם בהן כחלק ממלחמתה הבלתי מתפשרת בנגע של זילות חיי אדם והקלות הבלתי נסבלת של הלחיצה על ההדק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משמשת תשתית למגוון רחב של 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וזמינותו מעודדת את השימוש בו לצורכי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בסיס להנחה כי מי שמחזיק ונושא כלי בו גלום פוטנציאל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פיקוח מטעם רשויות המדינה ומבלי שנבחנו מיומנותו לעשות בו שימוש וכשירותו להחזיק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עושה זאת למטרות לא כשרות </w:t>
      </w:r>
      <w:r>
        <w:rPr>
          <w:rFonts w:cs="David" w:ascii="David" w:hAnsi="David"/>
          <w:rtl w:val="true"/>
        </w:rPr>
        <w:t>(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</w:rPr>
        <w:t>14/2/2021</w:t>
      </w:r>
      <w:r>
        <w:rPr>
          <w:rFonts w:cs="David" w:ascii="David" w:hAnsi="David"/>
          <w:rtl w:val="true"/>
        </w:rPr>
        <w:t xml:space="preserve">;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5/11/2019</w:t>
      </w:r>
      <w:r>
        <w:rPr>
          <w:rFonts w:cs="David" w:ascii="David" w:hAnsi="David"/>
          <w:rtl w:val="true"/>
        </w:rPr>
        <w:t xml:space="preserve">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אדרי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22/2/2007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הצורך להיאבק בעבירות הנשק בדרך של החמרת הענישה עולה גם מהוראת השעה </w:t>
      </w:r>
      <w:r>
        <w:rPr>
          <w:rFonts w:cs="David" w:ascii="David" w:hAnsi="David"/>
          <w:rtl w:val="true"/>
        </w:rPr>
        <w:t>(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שנכנסה לתוקף ביום </w:t>
      </w:r>
      <w:r>
        <w:rPr>
          <w:rFonts w:cs="David" w:ascii="David" w:hAnsi="David"/>
        </w:rPr>
        <w:t>8/12/2021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 נקבע עונש מינימום של רבע מהעונש המרבי בעבירות של החזקת ונשיאת נשק </w:t>
      </w:r>
      <w:r>
        <w:rPr>
          <w:rFonts w:cs="David" w:ascii="David" w:hAnsi="David"/>
          <w:rtl w:val="true"/>
        </w:rPr>
        <w:t>(</w:t>
      </w:r>
      <w:hyperlink r:id="rId2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העובדה שהנאשם נשא והחזיק אקדח תקני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הטעון במחסנית ובה תחמושת 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ולמעלה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מעצימה את מידת הפגיעה בערכים המוגנים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שטענה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הזמינות של הנשק לנאשם בזמן נשיאתו לא היתה גבוהה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נשא את הנשק והתחמושת על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בקופסה אותה הוביל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במסלול ישיר מהמוסך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מכן החזיק בהם בביתו פרק זמן קצר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לתפיסתם על ידי משטרת ישראל למחרת 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יש לצמצם במידה מסוימת מעוצמת הפגיעה בערכים המוגנים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ולהקהות מעוצמת הפגיעה בעבירה של נשיאת נשק בפרט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יש להסיק מעובדות כתב האישום כי הנאשם לא תכנן מראש את 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נטען כי הפגישה בין הנאשם לבין האדם שמסר לו את הנשק תואמה ביניהם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כי אותו אדם מסר לו את הנשק בסמוך לאחר שהנאשם ביקר במוסך לצורך תיקון 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להניח 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מדובר בפגישה אקראית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הנזק שעלול היה להיגרם מביצוע העבירה פורט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בפועל לא נגרם נזק כתוצאה ממעשיו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 נמנע בשל כך שפעולות אכיפה של משטרת ישראל הביאו לאיתור ותפיסת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מיוזמתו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כעולה מהפסיקה אליה הפנו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וכעולה מהפסיקה שתפורט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מנעד ענישה רחב בעבירות הנשק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eastAsia="Calibri" w:cs="Calibri"/>
          <w:rtl w:val="true"/>
        </w:rPr>
        <w:t>א</w:t>
      </w:r>
      <w:r>
        <w:rPr>
          <w:rFonts w:eastAsia="Calibri" w:cs="Calibri" w:ascii="Calibri" w:hAnsi="Calibri"/>
          <w:rtl w:val="true"/>
        </w:rPr>
        <w:t>.</w:t>
        <w:tab/>
      </w:r>
      <w:hyperlink r:id="rId2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28744-03-21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חוג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יראת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eastAsia="Calibri" w:cs="Calibri" w:ascii="Calibri" w:hAnsi="Calibri"/>
        </w:rPr>
        <w:t>30/5/2022</w:t>
      </w:r>
      <w:r>
        <w:rPr>
          <w:rFonts w:eastAsia="Calibri" w:cs="Calibri" w:ascii="Calibri" w:hAnsi="Calibri"/>
          <w:rtl w:val="true"/>
        </w:rPr>
        <w:t xml:space="preserve">:‏‏ </w:t>
      </w:r>
      <w:r>
        <w:rPr>
          <w:rFonts w:ascii="Calibri" w:hAnsi="Calibri" w:eastAsia="Calibri" w:cs="Calibri"/>
          <w:rtl w:val="true"/>
        </w:rPr>
        <w:t>הנאשם הורשע בעבירות של החזקה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נשיאה והובלה של נשק והפרעה לשוטר במילוי תפקידו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החזיק ברכבו אקדח חצי אוטומטי מסוג ברטה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כשהוא טעון במחסנית ובה חמישה כדורים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במשך למעלה מיממה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נסע ברכב כאשר האקדח הטעון נמצא ברשותו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בהגיעו סמוך לביתו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הנאשם השאיר את הנשק הטעון מתחת למושב הנהג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כשהוא עטוף בבד חיתול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יצא מהרכב ונעל אותו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בלש שהיה במקום הורה לנאשם למסור לו את מפתחות הרכב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הנאשם ניסה למנוע מהשוטר לקחת את מפתח הרכב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נקבע כי מתחם העונש ההולם נע בין </w:t>
      </w:r>
      <w:r>
        <w:rPr>
          <w:rFonts w:cs="David" w:ascii="David" w:hAnsi="David"/>
          <w:color w:val="000000"/>
          <w:shd w:fill="FFFFFF" w:val="clear"/>
        </w:rPr>
        <w:t>18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חודשי מאסר בפועל לבין </w:t>
      </w:r>
      <w:r>
        <w:rPr>
          <w:rFonts w:cs="David" w:ascii="David" w:hAnsi="David"/>
          <w:color w:val="000000"/>
          <w:shd w:fill="FFFFFF" w:val="clear"/>
        </w:rPr>
        <w:t>36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2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6383/21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קריף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13/2/2022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נדון ערעור שהגישו שלושה נאשמים על חומרת העונש שהוטל עליהם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מערערים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הורשעו בעבירות של הובלה ונשיאת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ונדונו לעונש מאסר בפועל לתקופה של </w:t>
      </w:r>
      <w:r>
        <w:rPr>
          <w:rFonts w:eastAsia="Calibri" w:cs="Calibri" w:ascii="Calibri" w:hAnsi="Calibri"/>
        </w:rPr>
        <w:t>25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 לכל אחד מהם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מערער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הורשע בעבירה של עסקה אחרת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ונדון למאסר בפועל לתקופה של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תקציר העובדות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 xml:space="preserve">מערערים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קבעו פגישה עם מערער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על מנת לקבל ממנו 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מערער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מסר למערערים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אקדח הזנקה מוסב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שיורה ובכוחו להמית אדם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מערער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לקח את האקדח והטמין אותו במכנסיו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ומערערים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נסעו מן המקום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הערעור נדחה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שנקבע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eastAsia="Calibri" w:cs="Calibri"/>
          <w:b/>
          <w:b/>
          <w:bCs/>
          <w:rtl w:val="true"/>
        </w:rPr>
        <w:t>ברי כי אין להטיל עונש אחד ואחיד על כל נאשם שעובר עבירת נשק מסוימת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הגישה האינדיבידואלית כלפי הענישה דורשת לבחון את מעשה העבירה הקונקרטי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כן יש לתת את הדעת על השוני בין הנאשמים – שוני שנובע מסוג העבירה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מחלקו של כל נאשם במסכת העבריינית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ומהנסיבות האישיות של כל נאשם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ואולם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כך נהג בית המשפט המחוזי במקרה זה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בגזר הדין נבחנו כל הפרמטרים לקולא ולחומרה ביחס לכל נאשם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נקודת האיזון שנבחרה אינה מצדיקה את התערבותה של ערכאת הערעור בתוצאה העונשית</w:t>
      </w:r>
      <w:r>
        <w:rPr>
          <w:rFonts w:eastAsia="Calibri"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color w:val="0563C1"/>
          <w:u w:val="single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בחינת מעשה העבירה הקונקרטי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כל המפורט לעיל בדבר העונש המזערי הקבוע בצדן של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הנהוגה והנסיבות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סבור כי מתחם העונש ההולם למעשיו של הנאשם 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color w:val="0563C1"/>
          <w:u w:val="single"/>
        </w:rPr>
      </w:pPr>
      <w:r>
        <w:rPr>
          <w:rFonts w:cs="David" w:ascii="David" w:hAnsi="David"/>
          <w:color w:val="0563C1"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/>
      </w:pPr>
      <w:r>
        <w:rPr>
          <w:rFonts w:ascii="Calibri" w:hAnsi="Calibri" w:cs="Calibri"/>
          <w:u w:val="single"/>
          <w:rtl w:val="true"/>
        </w:rPr>
        <w:t>העונש המתאים לנאשם</w:t>
      </w:r>
      <w:r>
        <w:rPr>
          <w:rFonts w:cs="Calibri" w:ascii="Calibri" w:hAnsi="Calibri"/>
          <w:color w:val="0563C1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 המתאים לנאשם בתוך מתחם הענישה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שיתוף הפעולה שלו עם משטרת ישראל במהלך החקירה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מהטיעונים שנשמעו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הודה במיוחס לו עוד בחקירתו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הוסיף ופירט את העובדות בגינן הורשע בעבירה של 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לזקוף לטובת הנאשם את הודאתו בשלב מוקדם של ההליכים – עוד במסגרת הדיון המקדמי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רק שיש בכך להביא לידי ביטוי את קבלת האחריות שלו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לבטא גם נכונות לשלם בגינם מחיר ולבסס תקווה איתנה כי הוא לא ישוב ויעבור עבירה חמורה נוספת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 בעברו הפלילי הנקי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ובנזקים שייגרמו לו ולמשפחתו כתוצאה מהרשעתו ומהעונש שיוטל עליו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לאור כל האמור אני סבור כי העונש המתאים לנאשם עומד בתחתית מתחם הענישה שנקבע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בהתחשב בשיקולים לקולה שפורטו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במצבו הכלכלי של הנאשם ובכך שבעובדות כתב האישום לא נטען למניע 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יוטל עליו 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 אני דן את הנאשם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שיימנו החל ממועד מעצרו ביום </w:t>
      </w:r>
      <w:r>
        <w:rPr>
          <w:rFonts w:cs="Calibri" w:ascii="Calibri" w:hAnsi="Calibri"/>
        </w:rPr>
        <w:t>23/8/2023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עשרה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30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אביזרי הנשק והתחמושת יחולטו או יושמדו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פי העניין ושיקול דעת</w:t>
      </w:r>
      <w:r>
        <w:rPr>
          <w:rFonts w:ascii="David" w:hAnsi="David"/>
          <w:rtl w:val="true"/>
        </w:rPr>
        <w:t xml:space="preserve"> המשטרה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לבית המשפט העליון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</w:t>
      </w:r>
    </w:p>
    <w:p>
      <w:pPr>
        <w:pStyle w:val="Normal"/>
        <w:ind w:end="0"/>
        <w:jc w:val="center"/>
        <w:rPr/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67387-08-23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סלמאן רומאן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case/28883087" TargetMode="External"/><Relationship Id="rId11" Type="http://schemas.openxmlformats.org/officeDocument/2006/relationships/hyperlink" Target="http://www.nevo.co.il/case/29644207" TargetMode="External"/><Relationship Id="rId12" Type="http://schemas.openxmlformats.org/officeDocument/2006/relationships/hyperlink" Target="http://www.nevo.co.il/case/4437135" TargetMode="External"/><Relationship Id="rId13" Type="http://schemas.openxmlformats.org/officeDocument/2006/relationships/hyperlink" Target="http://www.nevo.co.il/case/23126780" TargetMode="External"/><Relationship Id="rId14" Type="http://schemas.openxmlformats.org/officeDocument/2006/relationships/hyperlink" Target="http://www.nevo.co.il/case/21776505" TargetMode="External"/><Relationship Id="rId15" Type="http://schemas.openxmlformats.org/officeDocument/2006/relationships/hyperlink" Target="http://www.nevo.co.il/case/22727906" TargetMode="External"/><Relationship Id="rId16" Type="http://schemas.openxmlformats.org/officeDocument/2006/relationships/hyperlink" Target="http://www.nevo.co.il/case/10499511" TargetMode="External"/><Relationship Id="rId17" Type="http://schemas.openxmlformats.org/officeDocument/2006/relationships/hyperlink" Target="http://www.nevo.co.il/case/29331202" TargetMode="External"/><Relationship Id="rId18" Type="http://schemas.openxmlformats.org/officeDocument/2006/relationships/hyperlink" Target="http://www.nevo.co.il/case/26934681" TargetMode="External"/><Relationship Id="rId19" Type="http://schemas.openxmlformats.org/officeDocument/2006/relationships/hyperlink" Target="http://www.nevo.co.il/case/30404319" TargetMode="External"/><Relationship Id="rId20" Type="http://schemas.openxmlformats.org/officeDocument/2006/relationships/hyperlink" Target="http://www.nevo.co.il/case/13015506" TargetMode="External"/><Relationship Id="rId21" Type="http://schemas.openxmlformats.org/officeDocument/2006/relationships/hyperlink" Target="http://www.nevo.co.il/case/26383419" TargetMode="External"/><Relationship Id="rId22" Type="http://schemas.openxmlformats.org/officeDocument/2006/relationships/hyperlink" Target="http://www.nevo.co.il/case/26931111" TargetMode="External"/><Relationship Id="rId23" Type="http://schemas.openxmlformats.org/officeDocument/2006/relationships/hyperlink" Target="http://www.nevo.co.il/case/27309272" TargetMode="External"/><Relationship Id="rId24" Type="http://schemas.openxmlformats.org/officeDocument/2006/relationships/hyperlink" Target="http://www.nevo.co.il/case/25824863" TargetMode="External"/><Relationship Id="rId25" Type="http://schemas.openxmlformats.org/officeDocument/2006/relationships/hyperlink" Target="http://www.nevo.co.il/case/5724364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.g" TargetMode="External"/><Relationship Id="rId28" Type="http://schemas.openxmlformats.org/officeDocument/2006/relationships/hyperlink" Target="http://www.nevo.co.il/case/27470464" TargetMode="External"/><Relationship Id="rId29" Type="http://schemas.openxmlformats.org/officeDocument/2006/relationships/hyperlink" Target="http://www.nevo.co.il/case/27925239" TargetMode="External"/><Relationship Id="rId30" Type="http://schemas.openxmlformats.org/officeDocument/2006/relationships/hyperlink" Target="http://www.nevo.co.il/law/70301/14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2024-03-10T13:50:00Z</dcterms:created>
  <dc:creator> </dc:creator>
  <dc:description/>
  <cp:keywords/>
  <dc:language>en-IL</dc:language>
  <cp:lastModifiedBy>h1</cp:lastModifiedBy>
  <dcterms:modified xsi:type="dcterms:W3CDTF">2024-03-10T13:50:00Z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סלמאן רומאן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ProcID=209&amp;PartA=35396&amp;PartB=04&amp;PartC=22</vt:lpwstr>
  </property>
  <property fmtid="{D5CDD505-2E9C-101B-9397-08002B2CF9AE}" pid="9" name="CASESLISTTMP1">
    <vt:lpwstr>28883087;29644207;4437135;23126780;21776505;22727906;10499511;29331202;26934681;30404319;13015506;26383419;26931111;27309272;25824863;5724364;27470464;27925239</vt:lpwstr>
  </property>
  <property fmtid="{D5CDD505-2E9C-101B-9397-08002B2CF9AE}" pid="10" name="CITY">
    <vt:lpwstr>י-ם</vt:lpwstr>
  </property>
  <property fmtid="{D5CDD505-2E9C-101B-9397-08002B2CF9AE}" pid="11" name="DATE">
    <vt:lpwstr>20240307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מרדכי כדורי</vt:lpwstr>
  </property>
  <property fmtid="{D5CDD505-2E9C-101B-9397-08002B2CF9AE}" pid="15" name="LAWLISTTMP1">
    <vt:lpwstr>70301/144.b;144.a;144.g;144</vt:lpwstr>
  </property>
  <property fmtid="{D5CDD505-2E9C-101B-9397-08002B2CF9AE}" pid="16" name="LAWYER">
    <vt:lpwstr>ליזו וולפוס;דולי מזעל;חיים הדיה;בן מעוז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67387</vt:lpwstr>
  </property>
  <property fmtid="{D5CDD505-2E9C-101B-9397-08002B2CF9AE}" pid="23" name="NEWPARTB">
    <vt:lpwstr>08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390020240307</vt:lpwstr>
  </property>
  <property fmtid="{D5CDD505-2E9C-101B-9397-08002B2CF9AE}" pid="35" name="TYPE_N_DATE">
    <vt:lpwstr>39020240307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