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49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53"/>
        <w:gridCol w:w="3540"/>
        <w:gridCol w:w="6"/>
      </w:tblGrid>
      <w:tr>
        <w:trPr>
          <w:trHeight w:val="418" w:hRule="exact"/>
        </w:trPr>
        <w:tc>
          <w:tcPr>
            <w:tcW w:w="949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בית המשפט המחוזי בתל אביב – יפו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</w:rPr>
            </w:r>
          </w:p>
        </w:tc>
      </w:tr>
      <w:tr>
        <w:trPr>
          <w:trHeight w:val="567" w:hRule="atLeast"/>
        </w:trPr>
        <w:tc>
          <w:tcPr>
            <w:tcW w:w="595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67454-11-20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סמוני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</w:tc>
        <w:tc>
          <w:tcPr>
            <w:tcW w:w="354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</w:rPr>
              <w:t>12</w:t>
            </w:r>
            <w:r>
              <w:rPr>
                <w:rFonts w:cs="FrankRuehl"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אוגוסט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Cs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35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Style w:val="TimesNewRomanTimesNewRoman"/>
                <w:b/>
                <w:bCs/>
              </w:rPr>
            </w:pPr>
            <w:r>
              <w:rPr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5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סמי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נעאמנה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 w:before="240" w:after="240"/>
        <w:ind w:firstLine="36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Cs/>
          <w:rtl w:val="true"/>
        </w:rPr>
        <w:t>חוק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Cs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57" w:end="0"/>
        <w:contextualSpacing w:val="false"/>
        <w:jc w:val="both"/>
        <w:rPr/>
      </w:pPr>
      <w:bookmarkStart w:id="14" w:name="ABSTRACT_END"/>
      <w:bookmarkEnd w:id="14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tl w:val="true"/>
        </w:rPr>
        <w:t xml:space="preserve">)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3.11.2020</w:t>
      </w:r>
      <w:r>
        <w:rPr>
          <w:rtl w:val="true"/>
        </w:rPr>
        <w:t xml:space="preserve"> </w:t>
      </w:r>
      <w:r>
        <w:rPr>
          <w:rtl w:val="true"/>
        </w:rPr>
        <w:t>נתלשה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צפוף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57" w:start="357" w:end="0"/>
        <w:contextualSpacing w:val="false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הכולל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;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240"/>
        <w:ind w:firstLine="415" w:start="-58"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התובעות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קוטין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;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נעאמנה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וההתנדבותית</w:t>
      </w:r>
      <w:r>
        <w:rPr>
          <w:rtl w:val="true"/>
        </w:rPr>
        <w:t xml:space="preserve">, </w:t>
      </w:r>
      <w:r>
        <w:rPr>
          <w:rtl w:val="true"/>
        </w:rPr>
        <w:t>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).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המתחיל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sz w:val="26"/>
          <w:szCs w:val="26"/>
        </w:rPr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240" w:after="24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240" w:after="24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240" w:after="24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240" w:after="240"/>
        <w:ind w:start="36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 w:before="240" w:after="240"/>
        <w:ind w:firstLine="360"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החומרה </w:t>
      </w:r>
      <w:r>
        <w:rPr>
          <w:rFonts w:ascii="David" w:hAnsi="David"/>
          <w:color w:val="000000"/>
          <w:rtl w:val="true"/>
        </w:rPr>
        <w:t>הגלומה בעבירות בהן הורשע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הסכנה הרבה הטמונה בהן</w:t>
      </w:r>
      <w:r>
        <w:rPr>
          <w:rFonts w:ascii="David" w:hAnsi="David"/>
          <w:color w:val="000000"/>
          <w:rtl w:val="true"/>
        </w:rPr>
        <w:t xml:space="preserve"> ו</w:t>
      </w:r>
      <w:r>
        <w:rPr>
          <w:rFonts w:ascii="David" w:hAnsi="David"/>
          <w:color w:val="000000"/>
          <w:rtl w:val="true"/>
        </w:rPr>
        <w:t xml:space="preserve">על </w:t>
      </w:r>
      <w:r>
        <w:rPr>
          <w:rFonts w:ascii="David" w:hAnsi="David"/>
          <w:color w:val="000000"/>
          <w:rtl w:val="true"/>
        </w:rPr>
        <w:t>מדיניות הענישה המחמירה בה נוקט בית המשפט ביחס לעבירות בנשק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tl w:val="true"/>
        </w:rPr>
        <w:t>" [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/>
        <w:t>21.2.2012</w:t>
      </w:r>
      <w:r>
        <w:rPr>
          <w:rtl w:val="true"/>
        </w:rPr>
        <w:t xml:space="preserve">)].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גלוק</w:t>
      </w:r>
      <w:r>
        <w:rPr>
          <w:rtl w:val="true"/>
        </w:rPr>
        <w:t xml:space="preserve">")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, </w:t>
      </w:r>
      <w:r>
        <w:rPr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קרי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</w:t>
      </w:r>
      <w:r>
        <w:rPr>
          <w:rtl w:val="true"/>
        </w:rPr>
        <w:t>" [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31.7.2013</w:t>
      </w:r>
      <w:r>
        <w:rPr>
          <w:rtl w:val="true"/>
        </w:rPr>
        <w:t xml:space="preserve">)].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29.3.2004</w:t>
      </w:r>
      <w:r>
        <w:rPr>
          <w:rtl w:val="true"/>
        </w:rPr>
        <w:t xml:space="preserve">)).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25.8.2020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מרעאנה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11.7.2019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ומאוזן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22.6.2016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8.7.2014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לזמינות הבלתי נסבלת של נשק חם בידי מי שאינם מורשים לכך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יש פוטנציאל לשמש 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חיסול חשבונות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ול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פתרון סכסוכים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כמו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גם לעבירות חמורות נוספות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המציאות בארצנו מוכיחה כי הקלישאה אודות האקדח במערכה הראשונה אינה מדוייקת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באשר לעיתים מזומנות האקדח אינו ממתין עד למערכה האחרונה ויורה עוד קודם לכן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מכאן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שבעבירות כגון דא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גם לשיקולי ההרתעה משקל של ממש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עפולה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ונוספים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25.4.2012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מגורים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אוטומטי</w:t>
      </w:r>
      <w:r>
        <w:rPr>
          <w:rtl w:val="true"/>
        </w:rPr>
        <w:t>" [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11-10</w:t>
      </w:r>
      <w:r>
        <w:rPr>
          <w:rtl w:val="true"/>
        </w:rPr>
        <w:t xml:space="preserve"> (</w:t>
      </w:r>
      <w:r>
        <w:rPr/>
        <w:t>2.7.2020</w:t>
      </w:r>
      <w:r>
        <w:rPr>
          <w:rtl w:val="true"/>
        </w:rPr>
        <w:t xml:space="preserve">)].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):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כך למשל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בעניין עמאש צוין כי</w:t>
      </w:r>
      <w:r>
        <w:rPr>
          <w:rFonts w:cs="David" w:ascii="David" w:hAnsi="David"/>
          <w:b/>
          <w:bCs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'</w:t>
      </w:r>
      <w:r>
        <w:rPr>
          <w:rFonts w:ascii="David" w:hAnsi="David"/>
          <w:b/>
          <w:b/>
          <w:bCs/>
          <w:color w:val="000000"/>
          <w:rtl w:val="true"/>
        </w:rPr>
        <w:t>רבות נאמר ונכתב על הרעה החולה הפוקדת את מקומותינו ומותירה חלל והרס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היא התופעה של שימוש בנשק חם ברחובה של עיר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גם בשל סכסוכים בעניינים של מה בכך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בית משפט זה חזר והתריע מפני התפשטות התופעה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וקבע באופן </w:t>
      </w:r>
      <w:r>
        <w:rPr>
          <w:rFonts w:ascii="David" w:hAnsi="David"/>
          <w:b/>
          <w:b/>
          <w:bCs/>
          <w:rtl w:val="true"/>
        </w:rPr>
        <w:t>ברור כי יש להילחם בה ולמגרה באופן הנחרץ ביותר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נשיאה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בבואו לקבוע את עונשו של המשיב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קמא שקל את כל השיקולים שעליו לשקול ואף היה ער לפסיקתו של בית משפט זה בעניין סובח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הצהירה על מדיניות ההחמרה בענישה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u w:val="single"/>
          <w:rtl w:val="true"/>
        </w:rPr>
        <w:t>ית משפט קמא לא נתן ביטוי הולם למדיניות זו בקביעת המתחם הראוי לעונשו של המשיב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לאור מדיניות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ולנוכח הריבוי של אירועי ירי באזורי מגורים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הרף התחתון של המתחם צריך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לדעתי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להיות גבוה יותר מעשרים חודשי מאסר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וזאת באופן משמעותי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לאור הצורך החברתי להחמיר בענישה כל אימת שמדובר בירי באזור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בהתחשב במכלול הנסיבות – לרבות השימוש שעשה המשיב בנשק אוטומטי מאולתר – הנני סבור אפוא כי ראוי היה להטיל על המשיב מאסר בפועל לתקופה ממושכת</w:t>
      </w:r>
      <w:r>
        <w:rPr>
          <w:rFonts w:cs="David" w:ascii="David" w:hAnsi="David"/>
          <w:rtl w:val="true"/>
        </w:rPr>
        <w:t>" [</w:t>
      </w:r>
      <w:r>
        <w:rPr>
          <w:rFonts w:ascii="David" w:hAnsi="David"/>
          <w:rtl w:val="true"/>
        </w:rPr>
        <w:t xml:space="preserve">ההדגשות הוספו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].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נבארי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",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;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שולית</w:t>
      </w:r>
      <w:r>
        <w:rPr>
          <w:rtl w:val="true"/>
        </w:rPr>
        <w:t xml:space="preserve">"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30340-08-20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יסוד כלל השיקולים שפורטו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</w:t>
      </w:r>
      <w:r>
        <w:rPr>
          <w:rFonts w:ascii="David" w:hAnsi="David"/>
          <w:b/>
          <w:b/>
          <w:bCs/>
          <w:rtl w:val="true"/>
        </w:rPr>
        <w:t xml:space="preserve">מתחם עונש הולם 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קביעת העונש המתאים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הודאת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נוכח מוטיב הפנמת הפסול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נוכח העובדה כי הודאתו הובילה לחסכון בעדות עדים מבני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סיטואציה שהיה בה כדי להעצים את הסכסוך המתואר בכתב האישום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העדר עבר 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לחובת הנאשם הרשעות קודמות וזוהי הרשעתו היחידה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לנתון זה משקל משמעותי בקביעת העונש המתאים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ריצוי מאסר ראשון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הפסיקה הכירה בתקופת המאסר הראשונה כקשה במיוחד והכירה בנתון זה כמצדיק התחשבות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לפעול כך גם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נסיבות אישיות נוספות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נתתי דעתי לעובדה שהנאשם נשוי ואב לתינוקת בת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למצבו הרפואי ולהשתלבותו בהליך 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למקם את עונשו של הנאשם בתחתית המתחם שנקבע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662" w:end="302"/>
        <w:contextualSpacing w:val="false"/>
        <w:jc w:val="both"/>
        <w:rPr>
          <w:rFonts w:ascii="David" w:hAnsi="David" w:cs="David"/>
        </w:rPr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20.1.2021-17.11.2020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662" w:end="302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יתייצב ביום </w:t>
      </w:r>
      <w:r>
        <w:rPr>
          <w:rFonts w:cs="David" w:ascii="David" w:hAnsi="David"/>
        </w:rPr>
        <w:t>3.10.2021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במתקן ניצן או במתקן אחר עליו יורה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בהליך המיון המוקדם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שייערך כזה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662" w:end="302"/>
        <w:contextualSpacing w:val="false"/>
        <w:jc w:val="both"/>
        <w:rPr>
          <w:rFonts w:ascii="David" w:hAnsi="David" w:cs="David"/>
        </w:rPr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662" w:end="302"/>
        <w:contextualSpacing w:val="false"/>
        <w:jc w:val="both"/>
        <w:rPr>
          <w:rFonts w:ascii="David" w:hAnsi="David" w:cs="David"/>
        </w:rPr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662" w:end="302"/>
        <w:contextualSpacing w:val="false"/>
        <w:jc w:val="both"/>
        <w:rPr/>
      </w:pP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יקוזז מההפקדה הקיימת בתיק המעצר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David" w:ascii="David" w:hAnsi="David"/>
            <w:color w:val="0000FF"/>
            <w:u w:val="single"/>
          </w:rPr>
          <w:t>67460-11-20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והיתרה תושב לנאשם לאחר התייצבותו למאסר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0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40" w:after="240"/>
        <w:ind w:start="302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02" w:end="0"/>
        <w:jc w:val="both"/>
        <w:rPr/>
      </w:pPr>
      <w:r>
        <w:rPr>
          <w:rtl w:val="true"/>
        </w:rPr>
        <w:t>הטלפונים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302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bookmarkStart w:id="15" w:name="Nitan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12/08/2021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bookmarkEnd w:id="15"/>
      <w:r>
        <w:rPr>
          <w:rtl w:val="true"/>
        </w:rPr>
        <w:t xml:space="preserve"> </w:t>
      </w:r>
    </w:p>
    <w:p>
      <w:pPr>
        <w:pStyle w:val="Normal"/>
        <w:spacing w:lineRule="auto" w:line="360" w:before="240" w:after="240"/>
        <w:ind w:firstLine="302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67454-11-20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 סמוני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0"/>
        </w:tabs>
        <w:ind w:start="360" w:hanging="360"/>
      </w:pPr>
      <w:rPr>
        <w:u w:val="none"/>
      </w:r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662" w:hanging="360"/>
      </w:pPr>
      <w:rPr>
        <w:sz w:val="24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u w:val="no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sz w:val="24"/>
    </w:rPr>
  </w:style>
  <w:style w:type="character" w:styleId="WW8Num4z0">
    <w:name w:val="WW8Num4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40a.b.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case/5878682" TargetMode="External"/><Relationship Id="rId9" Type="http://schemas.openxmlformats.org/officeDocument/2006/relationships/hyperlink" Target="http://www.nevo.co.il/case/5568354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26913995" TargetMode="External"/><Relationship Id="rId12" Type="http://schemas.openxmlformats.org/officeDocument/2006/relationships/hyperlink" Target="http://www.nevo.co.il/case/25637368" TargetMode="External"/><Relationship Id="rId13" Type="http://schemas.openxmlformats.org/officeDocument/2006/relationships/hyperlink" Target="http://www.nevo.co.il/case/21475135" TargetMode="External"/><Relationship Id="rId14" Type="http://schemas.openxmlformats.org/officeDocument/2006/relationships/hyperlink" Target="http://www.nevo.co.il/case/13093744" TargetMode="External"/><Relationship Id="rId15" Type="http://schemas.openxmlformats.org/officeDocument/2006/relationships/hyperlink" Target="http://www.nevo.co.il/case/16913730" TargetMode="External"/><Relationship Id="rId16" Type="http://schemas.openxmlformats.org/officeDocument/2006/relationships/hyperlink" Target="http://www.nevo.co.il/case/558078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6492590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6492590" TargetMode="External"/><Relationship Id="rId21" Type="http://schemas.openxmlformats.org/officeDocument/2006/relationships/hyperlink" Target="http://www.nevo.co.il/case/5588206" TargetMode="External"/><Relationship Id="rId22" Type="http://schemas.openxmlformats.org/officeDocument/2006/relationships/hyperlink" Target="http://www.nevo.co.il/case/26923758" TargetMode="External"/><Relationship Id="rId23" Type="http://schemas.openxmlformats.org/officeDocument/2006/relationships/hyperlink" Target="http://www.nevo.co.il/case/27193839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2022-02-23T11:38:00Z</dcterms:created>
  <dc:creator> </dc:creator>
  <dc:description/>
  <cp:keywords/>
  <dc:language>en-IL</dc:language>
  <cp:lastModifiedBy>h1</cp:lastModifiedBy>
  <dcterms:modified xsi:type="dcterms:W3CDTF">2022-02-23T11:38:00Z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 סמוני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5878682;5568354;5852404;26913995;25637368;21475135;13093744;16913730;5580781;26492590:2;25824863;5588206;26923758;27193839</vt:lpwstr>
  </property>
  <property fmtid="{D5CDD505-2E9C-101B-9397-08002B2CF9AE}" pid="9" name="CITY">
    <vt:lpwstr>ת"א</vt:lpwstr>
  </property>
  <property fmtid="{D5CDD505-2E9C-101B-9397-08002B2CF9AE}" pid="10" name="DATE">
    <vt:lpwstr>20210812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70301/144.a;340a.b.1</vt:lpwstr>
  </property>
  <property fmtid="{D5CDD505-2E9C-101B-9397-08002B2CF9AE}" pid="15" name="LAWYER">
    <vt:lpwstr>ענת בן זאב;שלי קוטין;מחמוד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67454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390020210812</vt:lpwstr>
  </property>
  <property fmtid="{D5CDD505-2E9C-101B-9397-08002B2CF9AE}" pid="34" name="TYPE_N_DATE">
    <vt:lpwstr>39020210812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