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6788-06-16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בנעטייה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עדי בנעטייה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סטופ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5" w:name="ABSTRACT_START"/>
      <w:bookmarkEnd w:id="5"/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ייבוא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בצוותא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19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נוסח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התשל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קשירת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פשע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שי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אזולאי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מוטי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ואחרים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לכתובתה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מהולנד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מהולנד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לכתובתו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שהייתה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לשיחה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כתובתה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כיעד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למשלוח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החבילה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23.4.16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נשלחה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ארצה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מהולנד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חבילה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ארוזה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ובתוכה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מעילים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שבחלקם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הוסלק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בשרוולים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קוקאין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במשקל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נטו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2.565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החבילה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מוענה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לכתובתה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ונשלחה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8.5.16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הונפקה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bookmarkStart w:id="6" w:name="ABSTRACT_END"/>
      <w:bookmarkEnd w:id="6"/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9.5.16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לסניף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הדואר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הציגה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הדואר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הרשום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ודרשה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החבילה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כעסה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לשוחח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הסניף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13:00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הסגירה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10.5.16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הציגה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השובר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הזדהתה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וקיבלה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החבילה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משוחח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בטלפון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הנייד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מתעדכן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במתרחש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מזהיר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בהחלטה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הודאתה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ראשית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ולכמותו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עיניים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שלישית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הרומנטי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רווקה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המתגוררת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כמטפלת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תורשתית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במאפייה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כקופאית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במסעדה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שסיפקה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והחומריים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בהתייחסותה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אינטימית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מבטאת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ונבוכה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מהתנהלותה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הזוגי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בחיזוקים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הדדיות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MDMA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האינטימי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בתדירות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ליומיומי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אוקטובר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" –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בהצלחה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13.6.17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השתתפותה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כמנטורית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ומשמשת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אוזן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השתתפותה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אמפטיה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ששיתפו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במרחבי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ייחודית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ומרגשת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והדגישה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לשיפור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העצמי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בבסיס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הפתולוגי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מישורי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בסטאז</w:t>
      </w:r>
      <w:r>
        <w:rPr>
          <w:rFonts w:cs="David" w:ascii="David" w:hAnsi="David"/>
          <w:color w:val="000000"/>
          <w:rtl w:val="true"/>
        </w:rPr>
        <w:t>' "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לנערות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הנערות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מכוחותיה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ויכולותיה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הצטרפה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כמנטורית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מתפקדת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כמנטורית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אחראית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ומשקיעה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הלומדות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ומנטוריות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ומתפקדת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הפיקוח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הנפשית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התפקחותה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והשלכותיו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בפגישות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התבוננות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ומעמיקה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מבעיה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ומיטיב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ומסוגלת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ולנהוג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אסרטיבי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הבהיר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אינטליגנטית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וכישורים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ערכים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דימוי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ואישיותית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מקיומם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והתמכרותיים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המיוחסות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בתפקודה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בשאיפותיה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אקדמאיים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בעתיד</w:t>
      </w:r>
      <w:r>
        <w:rPr>
          <w:rFonts w:cs="David" w:ascii="David" w:hAnsi="David"/>
          <w:color w:val="000000"/>
          <w:rtl w:val="true"/>
        </w:rPr>
        <w:t xml:space="preserve">.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גולן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באוניברסיטת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גולן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תיארה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מעוניינת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מועסקת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הרגילה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דנה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קירשנבאום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ובמסגרתה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החסירה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שזהו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ובהתפתחות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קולגה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יושבת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בישיבות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בתהליך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חנה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מנדלסון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תיארה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נפלאות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בנעטיה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עולמם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בילדה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כמפקח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הבריאותי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משליחתה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אסופת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רפואיים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הבריאותי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זיהומים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טראומה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מיכאל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סטופ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הודאתה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סופו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הרוח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החיה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במדרג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מהמעגל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הפנימי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כתובתה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בעצימת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להתעלם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הגדולה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חולקת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התחשבות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הבריאותי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עונשה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סופית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לטעמה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התשובה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עונשה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וייס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ונורמטיבית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המתנדבת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ובתנועת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משתמשת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ונגררת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לתלותית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שהוצג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ההשפעה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קלסיות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ולכמותו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ילדה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מרבית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התגייסו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ביישוב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והעמיק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ההסתרה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ששוחררה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נרתמת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והצטרפה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בסגל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לנערות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המובנים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דופן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שוקלת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פשוטה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וסביבת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שתינתן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הנלווים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נזקי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נופלים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רכישתם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קילוגרם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ייבאה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ארצה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start"/>
        <w:rPr>
          <w:color w:val="000000"/>
        </w:rPr>
      </w:pP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להשפעותיו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הנדל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יונה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4.7.12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פסקה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 w:before="0" w:after="120"/>
        <w:ind w:start="1133" w:end="567"/>
        <w:jc w:val="both"/>
        <w:rPr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נחשב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השפעותיו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אופוריה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האופוריה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ההתרסקות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שמתאפיינת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בתשישות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דיכאון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ממושך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וצורך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מסתגל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לאפקט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האופוריה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וגדלות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הגדלת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פרנויה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פאניקה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ולהשתמש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דווקא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בתפקוד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והקוגניטיבי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>"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התכנון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למעשיה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מוקדם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ומסרה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כתובתה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שהחבילה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אליה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חלקה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היחסי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ההשפעה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 xml:space="preserve">; </w:t>
      </w:r>
      <w:r>
        <w:rPr>
          <w:color w:val="000000"/>
          <w:rtl w:val="true"/>
        </w:rPr>
        <w:t>חלקה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המרכזי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הגורם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הדומיננטי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מחוללת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יזמה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להרוויח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חלקה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כתובתה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מהדואר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הסכמתה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מרצונה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להשפעתו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רומנטי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תלותי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ניכר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מבוגר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מהנאשמת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ומעשיה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בהשפעתו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ולמענו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מגיעים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סוחרי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ומופצים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וכמותו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שהביאו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עבורו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3449/11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12.9.12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יסוד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והספקת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שהכילה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7,106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23.9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ממחשבה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3022/15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גרינשפן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7.11.16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sz w:val="28"/>
          <w:szCs w:val="28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200.8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שילוח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לעודדו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שיקומית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2518/16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יצחקי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25.12.16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נוזלי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מברזיל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לסניף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לסניף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5.5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9020/14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9.7.15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.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6533/16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23.11.16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ויבוא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לייבא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לארץ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חבילות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מוסלקים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וכתובתה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שהחבילה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מעטפה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שהכילה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389.23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בהזדמנויות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נידונה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376-10-16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1.2.18</w:t>
      </w:r>
      <w:r>
        <w:rPr>
          <w:rtl w:val="true"/>
        </w:rPr>
        <w:t xml:space="preserve">),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951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נידונה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16863-10-16</w:t>
        </w:r>
      </w:hyperlink>
      <w:r>
        <w:rPr>
          <w:rtl w:val="true"/>
        </w:rPr>
        <w:t xml:space="preserve"> 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דריגנט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1,376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48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סטייה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מהמתחם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משיקולי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שיקום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בהרחבה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קרנדל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18.4.18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הרוב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1274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בזהירות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ביישומו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בהפעלתו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העדפתם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מתפוגגים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להקפיד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שהבחירה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התנאי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שמציב</w:t>
      </w:r>
      <w:r>
        <w:rPr>
          <w:rFonts w:ascii="David" w:hAnsi="David"/>
          <w:color w:val="000000"/>
          <w:rtl w:val="true"/>
        </w:rPr>
        <w:t xml:space="preserve">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cs="David" w:ascii="David" w:hAnsi="David"/>
          <w:color w:val="000000"/>
          <w:rtl w:val="true"/>
        </w:rPr>
        <w:t xml:space="preserve">] </w:t>
      </w:r>
      <w:r>
        <w:rPr>
          <w:rFonts w:ascii="David" w:hAnsi="David"/>
          <w:color w:val="000000"/>
          <w:rtl w:val="true"/>
        </w:rPr>
        <w:t>ישתקם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וראיות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להבדיל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בעלמא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התשתית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להוכחת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ובראשם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בקיומו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?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וכוללת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ומטבע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נסיבותיו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המרכזיים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שהפגין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להשתקם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עובר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השתלבות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מוצלחת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אינדיקציות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החשיבה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והפגנת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אמפתיה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חשוב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להבהיר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והתקיימותו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בהכרח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ששילוב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בהתייחסות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המתבטא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בנטילת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אמפתיה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אינדיקציות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אובייקטיביות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כלשונו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ascii="David" w:hAnsi="David"/>
          <w:color w:val="000000"/>
          <w:rtl w:val="true"/>
        </w:rPr>
        <w:t>ד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חיזוק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."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למשל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6720/16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7.3.17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4876/15</w:t>
        </w:r>
      </w:hyperlink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3.12.15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4795/11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זאיד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27.6.11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22.1.14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5354/12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קובר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12.7.12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6637/17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קרנדל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18.4.18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קשירת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לחטיפה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cs="David" w:ascii="David" w:hAnsi="David"/>
          <w:color w:val="000000"/>
          <w:rtl w:val="true"/>
        </w:rPr>
        <w:t xml:space="preserve">); </w:t>
      </w:r>
      <w:r>
        <w:rPr>
          <w:rFonts w:ascii="David" w:hAnsi="David"/>
          <w:color w:val="000000"/>
          <w:rtl w:val="true"/>
        </w:rPr>
        <w:t>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779/15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12.4.15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סכין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4.11.14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התעללות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ישע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27277-01-15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קעדאן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16.9.15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33495-12-13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דדשב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30.3.15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7498-11-14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אלצראיעה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30.3.17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8833-01-14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אפלצ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22.12.16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8761-01-14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פוגרבניאק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26.4.17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23513-03-14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שצ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ינוב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10.11.16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1997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תורשתית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משהוחלט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להתגייס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לצבא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במאפייה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כקופאית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במסעדה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רומנטית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חושף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הלכה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והעמיקה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שבמהלכו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והתנהלה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בחיזוקים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הדדיות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מישורי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ואישיותית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נרתמה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כשנה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בפגישות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התבוננות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ומעמיקה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מבעיה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אינטליגנטית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וכישורים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ואישיותית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מקיומם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והתמכרותיים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" –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באוניברסיטת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וסיימה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בהצלחה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גילתה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אמפטיה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ורגישות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ששיתפו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במרחבי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דומיננטית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וביצעה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לשיפור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העצמי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השתלבה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בסטאז</w:t>
      </w:r>
      <w:r>
        <w:rPr>
          <w:rFonts w:cs="David" w:ascii="David" w:hAnsi="David"/>
          <w:color w:val="000000"/>
          <w:rtl w:val="true"/>
        </w:rPr>
        <w:t>' "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לנערות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הנערות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מכוחותיה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ויכולותיה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הצטרפה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כמנטורית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ההכשרה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מתפקדת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כמנטורית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אחראית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ומשקיעה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הלומדות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ומנטוריות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כצעירה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ומתפקדת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ואכן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מתייצבות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שהתייצבו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לעבודה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באוניברסיטת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ייזמה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המנטורניג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סוציאלית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ועובדת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המנטוניג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התגייסות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כשלעצמה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אינדיקציה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ומיטיב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ומסוגלת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ולנהוג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אסרטיבי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המנטורינג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שנאמרו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גולן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מנהלת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התכנית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בהצלחתו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פרופ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גולן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מעוניינת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היומיומית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דופן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ובוודאי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תשתקם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העדויות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שנשמעו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מלמדים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הימנעות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ובריח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לגרום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הצלחת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Style14"/>
        <w:numPr>
          <w:ilvl w:val="0"/>
          <w:numId w:val="4"/>
        </w:numPr>
        <w:ind w:hanging="720" w:start="720"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שנכתבו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דורנר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והטיפול</w:t>
      </w:r>
      <w:r>
        <w:rPr>
          <w:rtl w:val="true"/>
        </w:rPr>
        <w:t xml:space="preserve"> </w:t>
      </w:r>
      <w:r>
        <w:rPr>
          <w:rtl w:val="true"/>
        </w:rPr>
        <w:t>בעבריינים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7.6.18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 </w:t>
      </w:r>
      <w:r>
        <w:rPr>
          <w:rtl w:val="true"/>
        </w:rPr>
        <w:t>ואיון</w:t>
      </w:r>
      <w:r>
        <w:rPr>
          <w:rtl w:val="true"/>
        </w:rPr>
        <w:t xml:space="preserve"> </w:t>
      </w:r>
      <w:r>
        <w:rPr>
          <w:rtl w:val="true"/>
        </w:rPr>
        <w:t>המסוכנות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מחייבים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כותלי</w:t>
      </w:r>
      <w:r>
        <w:rPr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וכשניתן</w:t>
      </w:r>
      <w:r>
        <w:rPr>
          <w:rtl w:val="true"/>
        </w:rPr>
        <w:t xml:space="preserve"> </w:t>
      </w:r>
      <w:r>
        <w:rPr>
          <w:rtl w:val="true"/>
        </w:rPr>
        <w:t>לשלב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המותאם</w:t>
      </w:r>
      <w:r>
        <w:rPr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tl w:val="true"/>
        </w:rPr>
        <w:t xml:space="preserve"> </w:t>
      </w:r>
      <w:r>
        <w:rPr>
          <w:rtl w:val="true"/>
        </w:rPr>
        <w:t>לכותלי</w:t>
      </w:r>
      <w:r>
        <w:rPr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נקבע בדו</w:t>
      </w:r>
      <w:r>
        <w:rPr>
          <w:rtl w:val="true"/>
        </w:rPr>
        <w:t>"</w:t>
      </w:r>
      <w:r>
        <w:rPr>
          <w:rtl w:val="true"/>
        </w:rPr>
        <w:t>ח 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במקרים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תשקול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להמלצת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והעדפת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נוגדים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tl w:val="true"/>
        </w:rPr>
        <w:t xml:space="preserve">". </w:t>
      </w:r>
    </w:p>
    <w:p>
      <w:pPr>
        <w:pStyle w:val="Style14"/>
        <w:numPr>
          <w:ilvl w:val="0"/>
          <w:numId w:val="4"/>
        </w:numPr>
        <w:ind w:hanging="720" w:start="720"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המפורטים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כ</w:t>
      </w:r>
      <w:r>
        <w:rPr>
          <w:rtl w:val="true"/>
        </w:rPr>
        <w:t>מקרה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לסטייה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והעדפת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לנאשמת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ילידת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מתמודדת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רפואיות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ונעדרת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ובאפשרויות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העומדות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נרתמה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לנערות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הנמצאות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בחלקו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סופו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בשולי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שוכנעתי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ההבדלים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המשמעותיים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קונקרטי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ומרתיע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הנאשמת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5.8.18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1.9.18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1287" w:end="0"/>
        <w:jc w:val="both"/>
        <w:rPr>
          <w:lang w:eastAsia="he-IL"/>
        </w:rPr>
      </w:pPr>
      <w:r>
        <w:rPr>
          <w:rtl w:val="true"/>
          <w:lang w:eastAsia="he-IL"/>
        </w:rPr>
        <w:t>מובהר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להפקיעו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ולממונה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עבודות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השירות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6788-06-16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עדי בנעטייה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3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4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d.a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70301/499.a" TargetMode="External"/><Relationship Id="rId13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4216/19a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99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738608" TargetMode="External"/><Relationship Id="rId20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case/5896502" TargetMode="External"/><Relationship Id="rId22" Type="http://schemas.openxmlformats.org/officeDocument/2006/relationships/hyperlink" Target="http://www.nevo.co.il/case/20243562" TargetMode="External"/><Relationship Id="rId23" Type="http://schemas.openxmlformats.org/officeDocument/2006/relationships/hyperlink" Target="http://www.nevo.co.il/case/21472250" TargetMode="External"/><Relationship Id="rId24" Type="http://schemas.openxmlformats.org/officeDocument/2006/relationships/hyperlink" Target="http://www.nevo.co.il/case/18773882" TargetMode="External"/><Relationship Id="rId25" Type="http://schemas.openxmlformats.org/officeDocument/2006/relationships/hyperlink" Target="http://www.nevo.co.il/case/21478375" TargetMode="External"/><Relationship Id="rId26" Type="http://schemas.openxmlformats.org/officeDocument/2006/relationships/hyperlink" Target="http://www.nevo.co.il/case/21480620" TargetMode="External"/><Relationship Id="rId27" Type="http://schemas.openxmlformats.org/officeDocument/2006/relationships/hyperlink" Target="http://www.nevo.co.il/case/21528336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case/22938500" TargetMode="External"/><Relationship Id="rId31" Type="http://schemas.openxmlformats.org/officeDocument/2006/relationships/hyperlink" Target="http://www.nevo.co.il/law/70301/40d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d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d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1478675" TargetMode="External"/><Relationship Id="rId38" Type="http://schemas.openxmlformats.org/officeDocument/2006/relationships/hyperlink" Target="http://www.nevo.co.il/case/20513526" TargetMode="External"/><Relationship Id="rId39" Type="http://schemas.openxmlformats.org/officeDocument/2006/relationships/hyperlink" Target="http://www.nevo.co.il/case/5977308" TargetMode="External"/><Relationship Id="rId40" Type="http://schemas.openxmlformats.org/officeDocument/2006/relationships/hyperlink" Target="http://www.nevo.co.il/case/11269647" TargetMode="External"/><Relationship Id="rId41" Type="http://schemas.openxmlformats.org/officeDocument/2006/relationships/hyperlink" Target="http://www.nevo.co.il/case/5590169" TargetMode="External"/><Relationship Id="rId42" Type="http://schemas.openxmlformats.org/officeDocument/2006/relationships/hyperlink" Target="http://www.nevo.co.il/case/22938500" TargetMode="External"/><Relationship Id="rId43" Type="http://schemas.openxmlformats.org/officeDocument/2006/relationships/hyperlink" Target="http://www.nevo.co.il/case/20009419" TargetMode="External"/><Relationship Id="rId44" Type="http://schemas.openxmlformats.org/officeDocument/2006/relationships/hyperlink" Target="http://www.nevo.co.il/case/11302798" TargetMode="External"/><Relationship Id="rId45" Type="http://schemas.openxmlformats.org/officeDocument/2006/relationships/hyperlink" Target="http://www.nevo.co.il/case/18814996" TargetMode="External"/><Relationship Id="rId46" Type="http://schemas.openxmlformats.org/officeDocument/2006/relationships/hyperlink" Target="http://www.nevo.co.il/case/10529104" TargetMode="External"/><Relationship Id="rId47" Type="http://schemas.openxmlformats.org/officeDocument/2006/relationships/hyperlink" Target="http://www.nevo.co.il/case/18128667" TargetMode="External"/><Relationship Id="rId48" Type="http://schemas.openxmlformats.org/officeDocument/2006/relationships/hyperlink" Target="http://www.nevo.co.il/case/11222977" TargetMode="External"/><Relationship Id="rId49" Type="http://schemas.openxmlformats.org/officeDocument/2006/relationships/hyperlink" Target="http://www.nevo.co.il/case/11222898" TargetMode="External"/><Relationship Id="rId50" Type="http://schemas.openxmlformats.org/officeDocument/2006/relationships/hyperlink" Target="http://www.nevo.co.il/case/13049009" TargetMode="External"/><Relationship Id="rId51" Type="http://schemas.openxmlformats.org/officeDocument/2006/relationships/hyperlink" Target="http://www.nevo.co.il/law/70301/40ja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2018-10-15T15:23:00Z</dcterms:created>
  <dc:creator> </dc:creator>
  <dc:description/>
  <cp:keywords/>
  <dc:language>en-IL</dc:language>
  <cp:lastModifiedBy>run</cp:lastModifiedBy>
  <dcterms:modified xsi:type="dcterms:W3CDTF">2018-10-15T15:23:00Z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עדי בנעטייה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ProcID=181&amp;PartA=27277&amp;PartB=01&amp;PartC=15</vt:lpwstr>
  </property>
  <property fmtid="{D5CDD505-2E9C-101B-9397-08002B2CF9AE}" pid="9" name="CASENOTES2">
    <vt:lpwstr>ProcID=261&amp;PartA=33495&amp;PartB=12&amp;PartC=13</vt:lpwstr>
  </property>
  <property fmtid="{D5CDD505-2E9C-101B-9397-08002B2CF9AE}" pid="10" name="CASENOTES3">
    <vt:lpwstr>ProcID=261&amp;PartA=8833&amp;PartB=01&amp;PartC=14</vt:lpwstr>
  </property>
  <property fmtid="{D5CDD505-2E9C-101B-9397-08002B2CF9AE}" pid="11" name="CASESLISTTMP1">
    <vt:lpwstr>5738608;5896502;20243562;21472250;18773882;21478375;21480620;21528336;22938500:2;21478675;20513526;5977308;11269647;5590169;20009419;11302798;18814996;10529104;18128667;11222977;11222898;13049009</vt:lpwstr>
  </property>
  <property fmtid="{D5CDD505-2E9C-101B-9397-08002B2CF9AE}" pid="12" name="CITY">
    <vt:lpwstr>מרכז</vt:lpwstr>
  </property>
  <property fmtid="{D5CDD505-2E9C-101B-9397-08002B2CF9AE}" pid="13" name="DATE">
    <vt:lpwstr>20180614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עמי קובו</vt:lpwstr>
  </property>
  <property fmtid="{D5CDD505-2E9C-101B-9397-08002B2CF9AE}" pid="17" name="LAWLISTTMP1">
    <vt:lpwstr>4216/013;019a</vt:lpwstr>
  </property>
  <property fmtid="{D5CDD505-2E9C-101B-9397-08002B2CF9AE}" pid="18" name="LAWLISTTMP2">
    <vt:lpwstr>70301/029;499.a;040i;40jc;040d.a:2;040d;40ja</vt:lpwstr>
  </property>
  <property fmtid="{D5CDD505-2E9C-101B-9397-08002B2CF9AE}" pid="19" name="LAWYER">
    <vt:lpwstr>מיכאל סטופ;אבי חימי;משה וייס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NEWPARTA">
    <vt:lpwstr>6788</vt:lpwstr>
  </property>
  <property fmtid="{D5CDD505-2E9C-101B-9397-08002B2CF9AE}" pid="26" name="NEWPARTB">
    <vt:lpwstr>06</vt:lpwstr>
  </property>
  <property fmtid="{D5CDD505-2E9C-101B-9397-08002B2CF9AE}" pid="27" name="NEWPARTC">
    <vt:lpwstr>16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390020180614</vt:lpwstr>
  </property>
  <property fmtid="{D5CDD505-2E9C-101B-9397-08002B2CF9AE}" pid="38" name="TYPE_N_DATE">
    <vt:lpwstr>39020180614</vt:lpwstr>
  </property>
  <property fmtid="{D5CDD505-2E9C-101B-9397-08002B2CF9AE}" pid="39" name="VOLUME">
    <vt:lpwstr/>
  </property>
  <property fmtid="{D5CDD505-2E9C-101B-9397-08002B2CF9AE}" pid="40" name="WORDNUMPAGES">
    <vt:lpwstr>14</vt:lpwstr>
  </property>
</Properties>
</file>