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68163-12-14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אגף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והמע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שילת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וטליה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ניהול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מסעדות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אגף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והמע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שילת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וטליה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ניהול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מסעדות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ברקאי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טוב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הסנדויץ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הטוניסאי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"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36,347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26,847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9,500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40,073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21,881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18,192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32,011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16,786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15,225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המעודכנת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68,512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לשולחנם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במקרה שבפני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מידת הנזק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היא </w:t>
      </w:r>
      <w:r>
        <w:rPr/>
        <w:t>68,512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לא הוגשו עקב קריסה כלכלית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יכולה להוות נימוק לאי הגשת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להקלה בעונש </w:t>
      </w:r>
      <w:r>
        <w:rPr>
          <w:rFonts w:cs="Arial" w:ascii="Arial" w:hAnsi="Arial"/>
          <w:rtl w:val="true"/>
        </w:rPr>
        <w:t>(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1688/14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כץ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9.3.14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 של כבוד השופט שוהם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אביא דוגמאות מהפסיקה לגבי מתחמי העונש שנקבעו במקרים דומים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24241-12-14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אוזן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10.2.15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הורשע בגין אי הגשת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ואשר השתרעו על תקופה של כשלוש שנים ונדון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בעבודות שירות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היה </w:t>
      </w:r>
      <w:r>
        <w:rPr>
          <w:rFonts w:cs="Arial" w:ascii="Arial" w:hAnsi="Arial"/>
          <w:u w:val="single"/>
        </w:rPr>
        <w:t>50,000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הוכרז כפושט רגל והיה אב לבן יחיד שעול פרנסתו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</w:t>
      </w:r>
      <w:r>
        <w:rPr>
          <w:rFonts w:ascii="Arial" w:hAnsi="Arial" w:cs="Arial"/>
          <w:u w:val="single"/>
          <w:rtl w:val="true"/>
        </w:rPr>
        <w:t>לא הסיר את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הסיבה נבעה מכך שהוכרז כפושט רגל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קיצר את תקופת מאסרו </w:t>
      </w:r>
      <w:r>
        <w:rPr>
          <w:rFonts w:ascii="Arial" w:hAnsi="Arial" w:cs="Arial"/>
          <w:u w:val="single"/>
          <w:rtl w:val="true"/>
        </w:rPr>
        <w:t>לשלושה חודשי מאסר שירוצו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53360-10-13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משה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28.1.14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עניינו של המערער נדון בפני בבית משפט השלום ברמלה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הורשע בביצוען של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סך המחדל עמד על </w:t>
      </w:r>
      <w:r>
        <w:rPr>
          <w:rFonts w:ascii="Arial" w:hAnsi="Arial" w:cs="Arial"/>
          <w:u w:val="single"/>
          <w:rtl w:val="true"/>
        </w:rPr>
        <w:t xml:space="preserve">סך של </w:t>
      </w:r>
      <w:r>
        <w:rPr>
          <w:rFonts w:cs="Arial" w:ascii="Arial" w:hAnsi="Arial"/>
          <w:u w:val="single"/>
        </w:rPr>
        <w:t>24,150</w:t>
      </w:r>
      <w:r>
        <w:rPr>
          <w:rFonts w:cs="Arial" w:ascii="Arial" w:hAnsi="Arial"/>
          <w:u w:val="single"/>
          <w:rtl w:val="true"/>
        </w:rPr>
        <w:t xml:space="preserve"> ₪, </w:t>
      </w:r>
      <w:r>
        <w:rPr>
          <w:rFonts w:ascii="Arial" w:hAnsi="Arial" w:cs="Arial"/>
          <w:u w:val="single"/>
          <w:rtl w:val="true"/>
        </w:rPr>
        <w:t xml:space="preserve">בעוד שהחוב מקנסות עמד על </w:t>
      </w:r>
      <w:r>
        <w:rPr>
          <w:rFonts w:cs="Arial" w:ascii="Arial" w:hAnsi="Arial"/>
          <w:u w:val="single"/>
        </w:rPr>
        <w:t>65,211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והחוב מריבית היה </w:t>
      </w:r>
      <w:r>
        <w:rPr>
          <w:rFonts w:cs="Arial" w:ascii="Arial" w:hAnsi="Arial"/>
          <w:u w:val="single"/>
        </w:rPr>
        <w:t>7,697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באותו עניין קבעתי כי מתחם העונש ההולם נע </w:t>
      </w:r>
      <w:r>
        <w:rPr>
          <w:rFonts w:ascii="Arial" w:hAnsi="Arial" w:cs="Arial"/>
          <w:u w:val="single"/>
          <w:rtl w:val="true"/>
        </w:rPr>
        <w:t xml:space="preserve">בין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8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וקנס כספי שנע </w:t>
      </w:r>
      <w:r>
        <w:rPr>
          <w:rFonts w:ascii="Arial" w:hAnsi="Arial" w:cs="Arial"/>
          <w:u w:val="single"/>
          <w:rtl w:val="true"/>
        </w:rPr>
        <w:t xml:space="preserve">בין </w:t>
      </w:r>
      <w:r>
        <w:rPr>
          <w:rFonts w:cs="Arial" w:ascii="Arial" w:hAnsi="Arial"/>
          <w:u w:val="single"/>
        </w:rPr>
        <w:t>20,000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50,000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בסופו של יום הושתו על המערער 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ערעורו של המערער לבית המשפט המחוזי במחוז מרכז לגבי עונש המאסר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שהקנס הופחת </w:t>
      </w:r>
      <w:r>
        <w:rPr>
          <w:rFonts w:ascii="Arial" w:hAnsi="Arial" w:cs="Arial"/>
          <w:u w:val="single"/>
          <w:rtl w:val="true"/>
        </w:rPr>
        <w:t xml:space="preserve">לסך של </w:t>
      </w:r>
      <w:r>
        <w:rPr>
          <w:rFonts w:cs="Arial" w:ascii="Arial" w:hAnsi="Arial"/>
          <w:u w:val="single"/>
        </w:rPr>
        <w:t>10,000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 </w:t>
        </w:r>
        <w:r>
          <w:rPr>
            <w:rStyle w:val="Hyperlink"/>
            <w:rFonts w:cs="Arial" w:ascii="Arial" w:hAnsi="Arial"/>
            <w:color w:val="0000FF"/>
            <w:u w:val="single"/>
          </w:rPr>
          <w:t>51920-12-14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מוסקוביץ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רמלה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15.3.15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עניינם של המערערים נדון בפני בבית משפט השלום ברמלה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המערערים הורשעו בביצוע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סכום המחדל המקורי עמד על סך של </w:t>
      </w:r>
      <w:r>
        <w:rPr>
          <w:rFonts w:cs="Arial" w:ascii="Arial" w:hAnsi="Arial"/>
          <w:u w:val="single"/>
        </w:rPr>
        <w:t>113,000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>והמחדל הוסר באופן חלקי</w:t>
      </w:r>
      <w:r>
        <w:rPr>
          <w:rFonts w:ascii="Arial" w:hAnsi="Arial" w:cs="Arial"/>
          <w:rtl w:val="true"/>
        </w:rPr>
        <w:t xml:space="preserve"> כך שנותרה קרן מס בסך של </w:t>
      </w:r>
      <w:r>
        <w:rPr>
          <w:rFonts w:cs="Arial" w:ascii="Arial" w:hAnsi="Arial"/>
          <w:u w:val="single"/>
        </w:rPr>
        <w:t>54,142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הנאשמים לא הצליחו להסיר את יתרת המחדל עקב קשיים כלכלים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זה קבעתי כי מתחם העונש ההולם נע בין 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30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מאסר בפועל והקנס נע בין </w:t>
      </w:r>
      <w:r>
        <w:rPr>
          <w:rFonts w:cs="Arial" w:ascii="Arial" w:hAnsi="Arial"/>
          <w:u w:val="single"/>
        </w:rPr>
        <w:t>7,000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30,000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העובדה שהמאשימה טענה שמתחם העונש ההולם מתחיל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 הנאשמים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במסגרת הליך הערעור נטען שהמחדל הוסר באופן מלא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הערעור התקבל בכך שעונש המאסר בפועל הופחת </w:t>
      </w:r>
      <w:r>
        <w:rPr>
          <w:rFonts w:ascii="Arial" w:hAnsi="Arial" w:cs="Arial"/>
          <w:u w:val="single"/>
          <w:rtl w:val="true"/>
        </w:rPr>
        <w:t>לחודשיים שירוצו בדרך של עבודות שירות ורכיב הקנס נותר בעינו</w:t>
      </w:r>
      <w:r>
        <w:rPr>
          <w:rFonts w:cs="Arial" w:ascii="Arial" w:hAnsi="Arial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37359-08-13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דניארוב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28.1.14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המשיבה הורשעה בבית משפט השלום ברמלה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ביצוע חמש עבירות של אי הגשת דוח במועד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במקרה זה היתה מחלוקת בין הצדדים לגבי גובה המחדל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טענה שהחוב עמד על סך </w:t>
      </w:r>
      <w:r>
        <w:rPr>
          <w:rFonts w:cs="Arial" w:ascii="Arial" w:hAnsi="Arial"/>
        </w:rPr>
        <w:t>65,129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ובעוד שהנאשמת טענה שהוא עמד על 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גובה המחדל לא צוין בגוף כתב האישום ולכן בנסיבות אלה קבעתי </w:t>
      </w:r>
      <w:r>
        <w:rPr>
          <w:rFonts w:ascii="Arial" w:hAnsi="Arial" w:cs="Arial"/>
          <w:u w:val="single"/>
          <w:rtl w:val="true"/>
        </w:rPr>
        <w:t>שלא הוכח 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י המאשימה מה גובה החוב</w:t>
      </w:r>
      <w:r>
        <w:rPr>
          <w:rFonts w:cs="Arial" w:ascii="Arial" w:hAnsi="Arial"/>
          <w:u w:val="single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המחדלים לא הוסרו</w:t>
      </w:r>
      <w:r>
        <w:rPr>
          <w:rFonts w:ascii="Arial" w:hAnsi="Arial" w:cs="Arial"/>
          <w:rtl w:val="true"/>
        </w:rPr>
        <w:t xml:space="preserve"> וסוגיית גובה החוב לא באה על פתרונה נכון למועד מתן גזר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המשיבה הטלתי </w:t>
      </w:r>
      <w:r>
        <w:rPr>
          <w:rFonts w:ascii="Arial" w:hAnsi="Arial" w:cs="Arial"/>
          <w:u w:val="single"/>
          <w:rtl w:val="true"/>
        </w:rPr>
        <w:t xml:space="preserve">מאסר על תנאי וקנס בסך של </w:t>
      </w:r>
      <w:r>
        <w:rPr>
          <w:rFonts w:cs="Arial" w:ascii="Arial" w:hAnsi="Arial"/>
          <w:u w:val="single"/>
        </w:rPr>
        <w:t>8000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 הגישה ערעור לבית המשפט המחוזי במחוז מרכז על קולת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והערעור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אביא גם שלוש דוגמאות בעבירות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במועד בהן המאשימה הסכימה שיושת עונש של מאסר על תנאי וזאת עקב הסרת המחדלים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800" w:end="0"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רמלה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11383-02-11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רמלה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אליס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24.2.13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סכום המחדל </w:t>
      </w:r>
      <w:r>
        <w:rPr>
          <w:rFonts w:cs="Arial" w:ascii="Arial" w:hAnsi="Arial"/>
        </w:rPr>
        <w:t>24,663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ואשר צבר קנסות בסך </w:t>
      </w:r>
      <w:r>
        <w:rPr>
          <w:rFonts w:cs="Arial" w:ascii="Arial" w:hAnsi="Arial"/>
        </w:rPr>
        <w:t>102,267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וכן ריבית בסך </w:t>
      </w:r>
      <w:r>
        <w:rPr>
          <w:rFonts w:cs="Arial" w:ascii="Arial" w:hAnsi="Arial"/>
        </w:rPr>
        <w:t>26,491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spacing w:lineRule="auto" w:line="360"/>
        <w:ind w:start="18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800" w:end="0"/>
        <w:jc w:val="both"/>
        <w:rPr>
          <w:rFonts w:ascii="Arial" w:hAnsi="Arial" w:cs="Arial"/>
        </w:rPr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רמלה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7473-12-11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המרכז לחומרי בניין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3.4.14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סכום המחדל עמד על סך של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אשר הוסר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הנאשם אך נותר חוב בגין קנסות וריבית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800" w:end="0"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718-07-11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רמלה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רמלה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ביסמוט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29.1.13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במקרה המחדלים הוסרו אך נותרו קנסות בסך של </w:t>
      </w:r>
      <w:r>
        <w:rPr>
          <w:rFonts w:cs="Arial" w:ascii="Arial" w:hAnsi="Arial"/>
        </w:rPr>
        <w:t>32,760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בצירוף ריבית בסך </w:t>
      </w:r>
      <w:r>
        <w:rPr>
          <w:rFonts w:cs="Arial" w:ascii="Arial" w:hAnsi="Arial"/>
        </w:rPr>
        <w:t>23,653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ואשר הופחתה לכדי מחצית לאחר משא ומתן בין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כי מתחם העונש ההולם למכלול העבירות שבוצעו על ידי הנאשמים נע בין מאסר על תנאי ועד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ומתחם הקנס ההולם נע בין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כאשר אני לוקח בחשבון בעת קביעת מתחם הקנס ההולם את מצבם הכלכלי של הנאשמים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וריביות</w:t>
      </w:r>
      <w:r>
        <w:rPr>
          <w:rtl w:val="true"/>
        </w:rPr>
        <w:t xml:space="preserve">);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1.5.16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68163-12-14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אגף המכס והמע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שילת וטליה ניהול מסעדות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end"/>
      <w:pPr>
        <w:tabs>
          <w:tab w:val="num" w:pos="0"/>
        </w:tabs>
        <w:ind w:start="180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.6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aw/72813" TargetMode="External"/><Relationship Id="rId6" Type="http://schemas.openxmlformats.org/officeDocument/2006/relationships/hyperlink" Target="http://www.nevo.co.il/law/72813" TargetMode="External"/><Relationship Id="rId7" Type="http://schemas.openxmlformats.org/officeDocument/2006/relationships/hyperlink" Target="http://www.nevo.co.il/case/13055117" TargetMode="External"/><Relationship Id="rId8" Type="http://schemas.openxmlformats.org/officeDocument/2006/relationships/hyperlink" Target="http://www.nevo.co.il/case/18726121" TargetMode="External"/><Relationship Id="rId9" Type="http://schemas.openxmlformats.org/officeDocument/2006/relationships/hyperlink" Target="http://www.nevo.co.il/case/8465863" TargetMode="External"/><Relationship Id="rId10" Type="http://schemas.openxmlformats.org/officeDocument/2006/relationships/hyperlink" Target="http://www.nevo.co.il/law/72813/117.a.6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case/18758030" TargetMode="External"/><Relationship Id="rId13" Type="http://schemas.openxmlformats.org/officeDocument/2006/relationships/hyperlink" Target="http://www.nevo.co.il/law/72813/117.a.6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case/7969503" TargetMode="External"/><Relationship Id="rId16" Type="http://schemas.openxmlformats.org/officeDocument/2006/relationships/hyperlink" Target="http://www.nevo.co.il/law/72813/117.a.6" TargetMode="External"/><Relationship Id="rId17" Type="http://schemas.openxmlformats.org/officeDocument/2006/relationships/hyperlink" Target="http://www.nevo.co.il/case/2572235" TargetMode="External"/><Relationship Id="rId18" Type="http://schemas.openxmlformats.org/officeDocument/2006/relationships/hyperlink" Target="http://www.nevo.co.il/case/2946708" TargetMode="External"/><Relationship Id="rId19" Type="http://schemas.openxmlformats.org/officeDocument/2006/relationships/hyperlink" Target="http://www.nevo.co.il/case/2942734" TargetMode="External"/><Relationship Id="rId20" Type="http://schemas.openxmlformats.org/officeDocument/2006/relationships/hyperlink" Target="http://www.nevo.co.il/law/72813" TargetMode="External"/><Relationship Id="rId21" Type="http://schemas.openxmlformats.org/officeDocument/2006/relationships/hyperlink" Target="http://www.nevo.co.il/law/72813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2022-07-28T11:14:00Z</dcterms:created>
  <dc:creator> </dc:creator>
  <dc:description/>
  <cp:keywords/>
  <dc:language>en-IL</dc:language>
  <cp:lastModifiedBy>h10</cp:lastModifiedBy>
  <dcterms:modified xsi:type="dcterms:W3CDTF">2022-07-28T11:14:00Z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אגף המכס והמע#מ </vt:lpwstr>
  </property>
  <property fmtid="{D5CDD505-2E9C-101B-9397-08002B2CF9AE}" pid="3" name="APPELLEE">
    <vt:lpwstr>שילת וטליה ניהול מסעדות בע#מ;אליהו לוי;אסף שלמה טל </vt:lpwstr>
  </property>
  <property fmtid="{D5CDD505-2E9C-101B-9397-08002B2CF9AE}" pid="4" name="CASESLISTTMP1">
    <vt:lpwstr>13055117;18726121;8465863;18758030;7969503;2572235;2946708;2942734</vt:lpwstr>
  </property>
  <property fmtid="{D5CDD505-2E9C-101B-9397-08002B2CF9AE}" pid="5" name="CITY">
    <vt:lpwstr>רמ'</vt:lpwstr>
  </property>
  <property fmtid="{D5CDD505-2E9C-101B-9397-08002B2CF9AE}" pid="6" name="DATE">
    <vt:lpwstr>20160331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72813/117.a.6:4</vt:lpwstr>
  </property>
  <property fmtid="{D5CDD505-2E9C-101B-9397-08002B2CF9AE}" pid="10" name="LAWYER">
    <vt:lpwstr>מירב יולי;עדי ברקאי;עדי רז;עמית בר טוב</vt:lpwstr>
  </property>
  <property fmtid="{D5CDD505-2E9C-101B-9397-08002B2CF9AE}" pid="11" name="NEWPARTA">
    <vt:lpwstr>68163</vt:lpwstr>
  </property>
  <property fmtid="{D5CDD505-2E9C-101B-9397-08002B2CF9AE}" pid="12" name="NEWPARTB">
    <vt:lpwstr>12</vt:lpwstr>
  </property>
  <property fmtid="{D5CDD505-2E9C-101B-9397-08002B2CF9AE}" pid="13" name="NEWPARTC">
    <vt:lpwstr>14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380020160331</vt:lpwstr>
  </property>
  <property fmtid="{D5CDD505-2E9C-101B-9397-08002B2CF9AE}" pid="18" name="TYPE_N_DATE">
    <vt:lpwstr>38020160331</vt:lpwstr>
  </property>
  <property fmtid="{D5CDD505-2E9C-101B-9397-08002B2CF9AE}" pid="19" name="WORDNUMPAGES">
    <vt:lpwstr>5</vt:lpwstr>
  </property>
</Properties>
</file>