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68319-11-22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נסראללה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19.7.23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פרקליטות מחוז מרכז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שירה מוהר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כרם נסראללה</w:t>
      </w:r>
      <w:r>
        <w:rPr>
          <w:rFonts w:cs="David" w:ascii="David" w:hAnsi="David"/>
          <w:b/>
          <w:bCs/>
          <w:rtl w:val="true"/>
        </w:rPr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אלי כהן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u w:val="single"/>
          <w:rtl w:val="true"/>
        </w:rPr>
        <w:t>הסדר הטיעון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הודאת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פי הודאתו ובמסגרת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אביזר ותחמושת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עובדות הנאשם מתגורר בקלנסואה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הוריו ובני משפחה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</w:t>
      </w:r>
      <w:r>
        <w:rPr>
          <w:rFonts w:ascii="David" w:hAnsi="David"/>
          <w:rtl w:val="true"/>
        </w:rPr>
        <w:t xml:space="preserve">ובו </w:t>
      </w:r>
      <w:r>
        <w:rPr>
          <w:rFonts w:ascii="David" w:hAnsi="David"/>
          <w:rtl w:val="true"/>
        </w:rPr>
        <w:t>חצר בכניסה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19.3.21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נורו יריות לעבר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20.3.21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23:13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בעודו יושב בחצר הבית יחד עם </w:t>
      </w:r>
      <w:r>
        <w:rPr>
          <w:rFonts w:ascii="David" w:hAnsi="David"/>
          <w:rtl w:val="true"/>
        </w:rPr>
        <w:t xml:space="preserve">בני </w:t>
      </w:r>
      <w:r>
        <w:rPr>
          <w:rFonts w:ascii="David" w:hAnsi="David"/>
          <w:rtl w:val="true"/>
        </w:rPr>
        <w:t>משפחה נוספים ובהם אחיו ואביו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באקדח חצי אוטומטי </w:t>
      </w:r>
      <w:r>
        <w:rPr>
          <w:rFonts w:cs="David" w:ascii="David" w:hAnsi="David"/>
          <w:sz w:val="28"/>
          <w:szCs w:val="28"/>
        </w:rPr>
        <w:t>star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כשהוא טעון במחסנית שהכילה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שוטרים לחצר הבית והנאשם הניח את האקדח על כיסא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גבו של אחיו אשר ישב על הכיסא באותה 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הסדר הטיעון </w:t>
      </w:r>
      <w:r>
        <w:rPr>
          <w:rFonts w:ascii="David" w:hAnsi="David"/>
          <w:rtl w:val="true"/>
        </w:rPr>
        <w:t xml:space="preserve">הוסכם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הנאשם יישלח לשרות המבחן לצורך קבלת תסקיר </w:t>
      </w:r>
      <w:r>
        <w:rPr>
          <w:rFonts w:ascii="David" w:hAnsi="David"/>
          <w:u w:val="single"/>
          <w:rtl w:val="true"/>
        </w:rPr>
        <w:t>חובה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היתה הסכמה לעונש וכל צד טען כראות עיניו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 שרות המבחן מיום </w:t>
      </w:r>
      <w:r>
        <w:rPr>
          <w:rFonts w:cs="David" w:ascii="David" w:hAnsi="David"/>
        </w:rPr>
        <w:t>22.6.23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</w:t>
      </w:r>
      <w:r>
        <w:rPr>
          <w:rFonts w:ascii="David" w:hAnsi="David"/>
          <w:rtl w:val="true"/>
        </w:rPr>
        <w:t xml:space="preserve">שהנאשם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בוגר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מר</w:t>
      </w:r>
      <w:r>
        <w:rPr>
          <w:rFonts w:ascii="David" w:hAnsi="David"/>
          <w:rtl w:val="true"/>
        </w:rPr>
        <w:t xml:space="preserve">ותק </w:t>
      </w:r>
      <w:r>
        <w:rPr>
          <w:rFonts w:ascii="David" w:hAnsi="David"/>
          <w:rtl w:val="true"/>
        </w:rPr>
        <w:t xml:space="preserve">לכיסא גלגלים </w:t>
      </w:r>
      <w:r>
        <w:rPr>
          <w:rFonts w:ascii="David" w:hAnsi="David"/>
          <w:rtl w:val="true"/>
        </w:rPr>
        <w:t xml:space="preserve">מזה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ascii="David" w:hAnsi="David"/>
          <w:rtl w:val="true"/>
        </w:rPr>
        <w:t>בעקבות תאונת דרכים ואמו אינה עובדת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מגיל צעיר </w:t>
      </w:r>
      <w:r>
        <w:rPr>
          <w:rFonts w:ascii="David" w:hAnsi="David"/>
          <w:rtl w:val="true"/>
        </w:rPr>
        <w:t>נטל אחריות כבדה על עצמו הן בטיפול הרפואי בהוריו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בתמיכה הרגשית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בסיוע להם מבחינה כלכלית ובפרנסת המשפחה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עבד בעבודות מזדמנות </w:t>
      </w:r>
      <w:r>
        <w:rPr>
          <w:rFonts w:ascii="David" w:hAnsi="David"/>
          <w:rtl w:val="true"/>
        </w:rPr>
        <w:t xml:space="preserve">וכיום הוא </w:t>
      </w:r>
      <w:r>
        <w:rPr>
          <w:rFonts w:ascii="David" w:hAnsi="David"/>
          <w:rtl w:val="true"/>
        </w:rPr>
        <w:t>מנהל מחלקת אונליין בעסק בתחום המזון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בדיקת שתן שמסר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עידה על ניקיונו מסמים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ביחס לעבירה דנן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מודה בביצועה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 אחריות על התנהגותו עוברת החוק 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ביע צער וחרטה על חלקו בביצועה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גילה הבנה להשלכות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ומאידך מסר כי הנשק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שייך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מקרה העבירה חריג ואינו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פעל מתחושת בלבול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בהלה וחרדה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לטענתו במהלך שהותו עם בני משפחתו בחצר הבית </w:t>
      </w:r>
      <w:r>
        <w:rPr>
          <w:rFonts w:ascii="David" w:hAnsi="David"/>
          <w:rtl w:val="true"/>
        </w:rPr>
        <w:t xml:space="preserve">הנשק </w:t>
      </w:r>
      <w:r>
        <w:rPr>
          <w:rFonts w:ascii="David" w:hAnsi="David"/>
          <w:rtl w:val="true"/>
        </w:rPr>
        <w:t>נזרק מעל 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כשעד היום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מבין את הרקע למעשה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מודה בטעותו להחזיק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 אך שלל כל כוונה להחזיק או להשתמש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שרות </w:t>
      </w:r>
      <w:r>
        <w:rPr>
          <w:rFonts w:ascii="David" w:hAnsi="David"/>
          <w:rtl w:val="true"/>
        </w:rPr>
        <w:t xml:space="preserve">המבחן </w:t>
      </w:r>
      <w:r>
        <w:rPr>
          <w:rFonts w:ascii="David" w:hAnsi="David"/>
          <w:rtl w:val="true"/>
        </w:rPr>
        <w:t xml:space="preserve">התרשם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 נוטה להתנהג באופן אימפולסיבי ללא הפעלת שיקול דעת אודות השלכות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העריך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קיימת רמת סיכון נמוכה להישנות התנהגות 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חומרה נמוכה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מעורבות טיפולית במצבו תפחית את הסיכון להישנות התנהגות עוברת 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המליץ שרות המבחן להטיל על הנאשם </w:t>
      </w:r>
      <w:r>
        <w:rPr>
          <w:rFonts w:ascii="David" w:hAnsi="David"/>
          <w:rtl w:val="true"/>
        </w:rPr>
        <w:t>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בהיקף 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כענישה חינוכית ושיקומית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צו מבחן למשך שנה במסגרתו ישולב בהליך טיפולי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לערכים החברתיים המוגנים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שעניינם פגיעה בשלום הציבור ובטחונו ופגיעה בסדר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ור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לנזק 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הרס רב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להסלמה באירועי האלימות ברחבי האר</w:t>
      </w:r>
      <w:r>
        <w:rPr>
          <w:rFonts w:ascii="David" w:hAnsi="David"/>
          <w:rtl w:val="true"/>
        </w:rPr>
        <w:t>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 הפנתה ל</w:t>
      </w:r>
      <w:r>
        <w:rPr>
          <w:rFonts w:ascii="David" w:hAnsi="David"/>
          <w:rtl w:val="true"/>
        </w:rPr>
        <w:t xml:space="preserve">נסיבות הקשורות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כך שמדובר באקדח בהישג 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מוחבא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מוכן לשימוש </w:t>
      </w:r>
      <w:r>
        <w:rPr>
          <w:rFonts w:ascii="David" w:hAnsi="David"/>
          <w:rtl w:val="true"/>
        </w:rPr>
        <w:t xml:space="preserve">כשבתוכו </w:t>
      </w:r>
      <w:r>
        <w:rPr>
          <w:rFonts w:ascii="David" w:hAnsi="David"/>
          <w:rtl w:val="true"/>
        </w:rPr>
        <w:t xml:space="preserve">מחסנית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בכדורים</w:t>
      </w:r>
      <w:r>
        <w:rPr>
          <w:rFonts w:ascii="David" w:hAnsi="David"/>
          <w:rtl w:val="true"/>
        </w:rPr>
        <w:t xml:space="preserve"> ולעובדה ש</w:t>
      </w:r>
      <w:r>
        <w:rPr>
          <w:rFonts w:ascii="David" w:hAnsi="David"/>
          <w:rtl w:val="true"/>
        </w:rPr>
        <w:t xml:space="preserve">לנאשם אין </w:t>
      </w:r>
      <w:r>
        <w:rPr>
          <w:rFonts w:ascii="David" w:hAnsi="David"/>
          <w:rtl w:val="true"/>
        </w:rPr>
        <w:t xml:space="preserve">כל </w:t>
      </w:r>
      <w:r>
        <w:rPr>
          <w:rFonts w:ascii="David" w:hAnsi="David"/>
          <w:rtl w:val="true"/>
        </w:rPr>
        <w:t>הסבר להחזק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הנשק </w:t>
      </w:r>
      <w:r>
        <w:rPr>
          <w:rFonts w:ascii="David" w:hAnsi="David"/>
          <w:rtl w:val="true"/>
        </w:rPr>
        <w:t>על 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 xml:space="preserve">עיון בפסיקה </w:t>
      </w:r>
      <w:r>
        <w:rPr>
          <w:rFonts w:ascii="David" w:hAnsi="David"/>
          <w:rtl w:val="true"/>
        </w:rPr>
        <w:t xml:space="preserve">עדכנית </w:t>
      </w:r>
      <w:r>
        <w:rPr>
          <w:rFonts w:ascii="David" w:hAnsi="David"/>
          <w:rtl w:val="true"/>
        </w:rPr>
        <w:t>מלמד שבמקרים דומים הטילו בתי משפט עונשי מאסר בפועל לתקופות משתנות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נקבע שעבירה של החזקת נשק שלא כדין מצדיקה הטלת עונש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בדרך של עבודות שרות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להנחיית פרקליט המדינה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לקביעת </w:t>
      </w:r>
      <w:r>
        <w:rPr>
          <w:rFonts w:ascii="David" w:hAnsi="David"/>
          <w:rtl w:val="true"/>
        </w:rPr>
        <w:t xml:space="preserve">מתחם עונש הולם </w:t>
      </w:r>
      <w:r>
        <w:rPr>
          <w:rFonts w:ascii="David" w:hAnsi="David"/>
          <w:rtl w:val="true"/>
        </w:rPr>
        <w:t xml:space="preserve">הנע </w:t>
      </w:r>
      <w:r>
        <w:rPr>
          <w:rFonts w:ascii="David" w:hAnsi="David"/>
          <w:rtl w:val="true"/>
        </w:rPr>
        <w:t xml:space="preserve">בין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באשר לנסיבות שאינן קשורות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נזקפה לזכות הנאשם הודאתו והעובדה שאין לו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>נסיבות של חלוף הזמן ולקיחת אחריות אינן מקלות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והנאשם הודה לאחר ש</w:t>
      </w:r>
      <w:r>
        <w:rPr>
          <w:rFonts w:ascii="David" w:hAnsi="David"/>
          <w:rtl w:val="true"/>
        </w:rPr>
        <w:t>הוגש נגד אחיו כתב אישום בגין החזקת אותו אקדח ומשפטו היה בשלב מתקדם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ההודאה ונטילת האחריות באה מצד הנאשם באיחור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תסקיר שרות המבחן אינו מלמד על קבלת אחריות מלאה כשהנאשם שלל שהנשק שייך לו </w:t>
      </w:r>
      <w:r>
        <w:rPr>
          <w:rFonts w:ascii="David" w:hAnsi="David"/>
          <w:rtl w:val="true"/>
        </w:rPr>
        <w:t>ולא ס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פק שום הסבר לעצם ההחזקה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התובעת תמהה על </w:t>
      </w:r>
      <w:r>
        <w:rPr>
          <w:rFonts w:ascii="David" w:hAnsi="David"/>
          <w:rtl w:val="true"/>
        </w:rPr>
        <w:t xml:space="preserve">המלצת קצינת המבחן </w:t>
      </w:r>
      <w:r>
        <w:rPr>
          <w:rFonts w:ascii="David" w:hAnsi="David"/>
          <w:rtl w:val="true"/>
        </w:rPr>
        <w:t>להסתפק בצו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לצד 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המלצה </w:t>
      </w:r>
      <w:r>
        <w:rPr>
          <w:rFonts w:ascii="David" w:hAnsi="David"/>
          <w:rtl w:val="true"/>
        </w:rPr>
        <w:t>מרחיקת לכת בעבירות 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ובפרט בנסיבות אלה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התובעת למקם עונשו של הנאשם באמצע המתחם לו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כתב האישום מבלי לנהל משפט הוכחות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 הנאשם היא משפחה נורמטיבית כשאחיו לומדים ועובדים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 xml:space="preserve">מדובר בתיק 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>נסיבות מיוחדות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שכאשר המשטרה </w:t>
      </w:r>
      <w:r>
        <w:rPr>
          <w:rFonts w:ascii="David" w:hAnsi="David"/>
          <w:rtl w:val="true"/>
        </w:rPr>
        <w:t>הגיעה ל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אנשים שהיו על הגג זיהו את</w:t>
      </w:r>
      <w:r>
        <w:rPr>
          <w:rFonts w:ascii="David" w:hAnsi="David"/>
          <w:rtl w:val="true"/>
        </w:rPr>
        <w:t xml:space="preserve"> השוטרים</w:t>
      </w:r>
      <w:r>
        <w:rPr>
          <w:rFonts w:ascii="David" w:hAnsi="David"/>
          <w:rtl w:val="true"/>
        </w:rPr>
        <w:t xml:space="preserve"> והשליכו מהגג כל מיני חפצים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עם כדורים ואקדח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אחז באקדח הזה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אחיזה רגעית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והניח אותו </w:t>
      </w:r>
      <w:r>
        <w:rPr>
          <w:rFonts w:ascii="David" w:hAnsi="David"/>
          <w:rtl w:val="true"/>
        </w:rPr>
        <w:t>על ה</w:t>
      </w:r>
      <w:r>
        <w:rPr>
          <w:rFonts w:ascii="David" w:hAnsi="David"/>
          <w:rtl w:val="true"/>
        </w:rPr>
        <w:t>מושב שאחיו ישב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גבו של האח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 xml:space="preserve">הנאשם החזיק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rtl w:val="true"/>
        </w:rPr>
        <w:t>אך ו</w:t>
      </w:r>
      <w:r>
        <w:rPr>
          <w:rFonts w:ascii="David" w:hAnsi="David"/>
          <w:rtl w:val="true"/>
        </w:rPr>
        <w:t>רק בשעה ה</w:t>
      </w:r>
      <w:r>
        <w:rPr>
          <w:rFonts w:ascii="David" w:hAnsi="David"/>
          <w:rtl w:val="true"/>
        </w:rPr>
        <w:t>מצוינת</w:t>
      </w:r>
      <w:r>
        <w:rPr>
          <w:rFonts w:ascii="David" w:hAnsi="David"/>
          <w:rtl w:val="true"/>
        </w:rPr>
        <w:t xml:space="preserve"> בכתב האישום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 xml:space="preserve">כל </w:t>
      </w:r>
      <w:r>
        <w:rPr>
          <w:rFonts w:ascii="David" w:hAnsi="David"/>
          <w:rtl w:val="true"/>
        </w:rPr>
        <w:t xml:space="preserve">ראיה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החזיק בו לפני כן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 ש</w:t>
      </w:r>
      <w:r>
        <w:rPr>
          <w:rFonts w:ascii="David" w:hAnsi="David"/>
          <w:rtl w:val="true"/>
        </w:rPr>
        <w:t>למשטרה לא היה שמץ של מושג שהנאשם מעורב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בא מיוזמתו למשטרה וסיפר את הסיפור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שנחקר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ביטלה את כתב האישום </w:t>
      </w:r>
      <w:r>
        <w:rPr>
          <w:rFonts w:ascii="David" w:hAnsi="David"/>
          <w:rtl w:val="true"/>
        </w:rPr>
        <w:t xml:space="preserve">שהוגש בשעתו </w:t>
      </w:r>
      <w:r>
        <w:rPr>
          <w:rFonts w:ascii="David" w:hAnsi="David"/>
          <w:rtl w:val="true"/>
        </w:rPr>
        <w:t>נגד אחיו</w:t>
      </w:r>
      <w:r>
        <w:rPr>
          <w:rFonts w:ascii="David" w:hAnsi="David"/>
          <w:rtl w:val="true"/>
        </w:rPr>
        <w:t xml:space="preserve"> וייחס לו את החזקת אותו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כשהמשפט היה לקראת סיום </w:t>
      </w:r>
      <w:r>
        <w:rPr>
          <w:rFonts w:ascii="David" w:hAnsi="David"/>
          <w:rtl w:val="true"/>
        </w:rPr>
        <w:t>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נטען שחרטתו של הנאשם כנה </w:t>
      </w:r>
      <w:r>
        <w:rPr>
          <w:rFonts w:ascii="David" w:hAnsi="David"/>
          <w:rtl w:val="true"/>
        </w:rPr>
        <w:t xml:space="preserve">משום שהנאשם הגיע מיוזמתו למשטרה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כבר בחקירה הוא נטל אחריות על מעשיו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שתי אמרותיו של הנאשם במשטרה הוגשו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נע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שהתסקיר שהוגש בעניינו </w:t>
      </w:r>
      <w:r>
        <w:rPr>
          <w:rFonts w:ascii="David" w:hAnsi="David"/>
          <w:rtl w:val="true"/>
        </w:rPr>
        <w:t>חיובי מא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ד וממליץ על </w:t>
      </w:r>
      <w:r>
        <w:rPr>
          <w:rFonts w:ascii="David" w:hAnsi="David"/>
          <w:rtl w:val="true"/>
        </w:rPr>
        <w:t>הטלת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לצד 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כששרות המבחן מציין שהטיפול בנאשם נחוץ וש</w:t>
      </w:r>
      <w:r>
        <w:rPr>
          <w:rFonts w:ascii="David" w:hAnsi="David"/>
          <w:rtl w:val="true"/>
        </w:rPr>
        <w:t>בכוונתו לשלב אותו בקבוצה טיפולית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לה מהתסקיר שמדובר באיש 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כמנהל מחלקה בעסק בתחום המזון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מפרנס את הוריו לאחר שאחיו התחתנו ועזבו את הבית וסועד את האב המרותק לכיסא גלגלים ואת האם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מתפקדת באופן חלקי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בעל הישגים ויכולות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 בית ספר תיכון עם תעודת בגרות מלאה 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תכוון להמשיך ללימודים אקדמאיים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לשרות המבחן הסביר הנאשם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הנשק לא שייך 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פעל מתוך תחושת בלבול לאחר שהנשק נזרק מעל 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הוא </w:t>
      </w:r>
      <w:r>
        <w:rPr>
          <w:rFonts w:ascii="David" w:hAnsi="David"/>
          <w:rtl w:val="true"/>
        </w:rPr>
        <w:t>שלל כל כוונה להשתמש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אר תחושת בהלה ופחד ברקע לאירוע והביע נכונות לשאת בתוצאות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מקבל את מלוא האחריות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 ההערכה היא לרמת סיכון נמוכה להישנות התנהגות אלימה ברמת חומרה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 לקביעת מתחם עונש הולם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עונשו של הנאשם ביקש למקם בתחתית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וצו 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לפסיקה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בדברו האחרון הביע צער </w:t>
      </w:r>
      <w:r>
        <w:rPr>
          <w:rFonts w:ascii="David" w:hAnsi="David"/>
          <w:rtl w:val="true"/>
        </w:rPr>
        <w:t>על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סיפר שהוא 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צה להירשם ללימודים אקדמיים לתואר בכלכלה ומנהל עסקים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להמשיך לעבוד בתפקידו הנוכחי כמנהל מחלקת אונליין בחברת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קרפור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ולהתקדם בחיים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</w:t>
      </w:r>
      <w:r>
        <w:rPr>
          <w:rFonts w:ascii="David" w:hAnsi="David"/>
          <w:b/>
          <w:b/>
          <w:bCs/>
          <w:u w:val="single"/>
          <w:rtl w:val="true"/>
        </w:rPr>
        <w:t>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רבות נכתב בפסיקה אודות חומרתן הרבה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הפכו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וביישובי השרון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איזור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ואשר </w:t>
      </w:r>
      <w:r>
        <w:rPr>
          <w:rFonts w:ascii="David" w:hAnsi="David"/>
          <w:rtl w:val="true"/>
        </w:rPr>
        <w:t>מגלמות סכנה ממשית לשלום הציבור ולביטחונו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שהלכה והסלימה בעת האחרונה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יהא זה מוגזם לומר שבמציאות העכורה בה אנו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לך יום שאתה לא מדווח בחדשות על אירוע ירי שגרם לפציעתם של 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למרבה האסון גרם למותם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כשבחלק גדול מהמקרים מדובר באזרחים בלתי מעורבים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עוברי דרך תמימים שנקלעו שלא בטובתם ולרוע מזלם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קו האש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נשים וילדים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נוכח מציאות עגומה זו קבע בית המשפט העליון שיש להחמיר בענישה </w:t>
      </w:r>
      <w:r>
        <w:rPr>
          <w:rFonts w:ascii="David" w:hAnsi="David"/>
          <w:rtl w:val="true"/>
        </w:rPr>
        <w:t xml:space="preserve">למען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יראו וייראו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כל אותם עבריינים המבקשים </w:t>
      </w:r>
      <w:r>
        <w:rPr>
          <w:rFonts w:ascii="David" w:hAnsi="David"/>
          <w:rtl w:val="true"/>
        </w:rPr>
        <w:t>להחזיק בנשק 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ראה</w:t>
      </w:r>
      <w:r>
        <w:rPr>
          <w:rFonts w:cs="David" w:ascii="David" w:hAnsi="David"/>
          <w:rtl w:val="true"/>
        </w:rPr>
        <w:t xml:space="preserve">: 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ascii="David" w:hAnsi="David"/>
          <w:b/>
          <w:b/>
          <w:bCs/>
          <w:rtl w:val="true"/>
        </w:rPr>
        <w:t>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וההפניות שם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21.6.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הערכים </w:t>
      </w:r>
      <w:r>
        <w:rPr>
          <w:rFonts w:ascii="David" w:hAnsi="David"/>
          <w:rtl w:val="true"/>
        </w:rPr>
        <w:t xml:space="preserve">החברתיים </w:t>
      </w:r>
      <w:r>
        <w:rPr>
          <w:rFonts w:ascii="David" w:hAnsi="David"/>
          <w:rtl w:val="true"/>
        </w:rPr>
        <w:t xml:space="preserve">המוגנים בהם </w:t>
      </w:r>
      <w:r>
        <w:rPr>
          <w:rFonts w:ascii="David" w:hAnsi="David"/>
          <w:rtl w:val="true"/>
        </w:rPr>
        <w:t xml:space="preserve">פגע הנאשם </w:t>
      </w:r>
      <w:r>
        <w:rPr>
          <w:rFonts w:ascii="David" w:hAnsi="David"/>
          <w:rtl w:val="true"/>
        </w:rPr>
        <w:t>עניינם שמירה על שלום 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וביטחונו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הצורך בשמירה על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הפסיקה </w:t>
      </w:r>
      <w:r>
        <w:rPr>
          <w:rFonts w:ascii="David" w:hAnsi="David"/>
          <w:rtl w:val="true"/>
        </w:rPr>
        <w:t xml:space="preserve">עמדה </w:t>
      </w:r>
      <w:r>
        <w:rPr>
          <w:rFonts w:ascii="David" w:hAnsi="David"/>
          <w:rtl w:val="true"/>
        </w:rPr>
        <w:t xml:space="preserve">על כך שנוכח היקפן המתרחב של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והזמינות הרבה של הנשק</w:t>
      </w:r>
      <w:r>
        <w:rPr>
          <w:rFonts w:ascii="David" w:hAnsi="David"/>
          <w:rtl w:val="true"/>
        </w:rPr>
        <w:t xml:space="preserve">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 מתרחב למעגלים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מעבר לסכנה שבהחזקת נשק על ידי מי שאינו מורשה ומוסמך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חשש לזליגת כלי נשק לגורמים פליליים או בטחוניים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העליון שלעת הזו אנו מצויים ב</w:t>
      </w:r>
      <w:r>
        <w:rPr>
          <w:rFonts w:ascii="David" w:hAnsi="David"/>
          <w:b/>
          <w:b/>
          <w:bCs/>
          <w:rtl w:val="true"/>
        </w:rPr>
        <w:t>מצב חירום של ממש</w:t>
      </w:r>
      <w:r>
        <w:rPr>
          <w:rFonts w:cs="David" w:ascii="David" w:hAnsi="David"/>
          <w:rtl w:val="true"/>
        </w:rPr>
        <w:t>. [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7473/20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(‏</w:t>
      </w:r>
      <w:r>
        <w:rPr>
          <w:rFonts w:cs="David" w:ascii="David" w:hAnsi="David"/>
        </w:rPr>
        <w:t>29.6.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5646/15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לעבירת החזקת הנשק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הערכים ה</w:t>
      </w:r>
      <w:r>
        <w:rPr>
          <w:rFonts w:ascii="David" w:hAnsi="David"/>
          <w:rtl w:val="true"/>
        </w:rPr>
        <w:t>חברתיים ה</w:t>
      </w:r>
      <w:r>
        <w:rPr>
          <w:rFonts w:ascii="David" w:hAnsi="David"/>
          <w:rtl w:val="true"/>
        </w:rPr>
        <w:t>מוגנים בהם היא פוגעת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.11.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</w:p>
    <w:p>
      <w:pPr>
        <w:pStyle w:val="Normal"/>
        <w:spacing w:lineRule="auto" w:line="360"/>
        <w:ind w:start="425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התשתית ו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הגורם בלעדיו איין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.' </w:t>
      </w:r>
      <w:r>
        <w:rPr>
          <w:rFonts w:ascii="David" w:hAnsi="David"/>
          <w:b/>
          <w:b/>
          <w:bCs/>
          <w:rtl w:val="true"/>
        </w:rPr>
        <w:t>למגוון רחב של 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לעתים קרובות הנשק הבלתי חוקי נרכש מלכתחילה למטרות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ואף אם הנשק נרכש למטרות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הגנה עצמית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הזמינות של הנשק מעודדת את השימוש בו לביצוע עבירות שונות ולהחרפת תוצאותיה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ערש לגידולן של תופעות אלה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מנסיבות ביצוע העבירה עולה </w:t>
      </w:r>
      <w:r>
        <w:rPr>
          <w:rFonts w:ascii="David" w:hAnsi="David"/>
          <w:rtl w:val="true"/>
        </w:rPr>
        <w:t xml:space="preserve">כי מידת הפגיעה בערכים </w:t>
      </w:r>
      <w:r>
        <w:rPr>
          <w:rFonts w:ascii="David" w:hAnsi="David"/>
          <w:rtl w:val="true"/>
        </w:rPr>
        <w:t xml:space="preserve">החברתיים המוגנים </w:t>
      </w:r>
      <w:r>
        <w:rPr>
          <w:rFonts w:ascii="David" w:hAnsi="David"/>
          <w:u w:val="single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 xml:space="preserve">לאור העובדה </w:t>
      </w:r>
      <w:r>
        <w:rPr>
          <w:rFonts w:ascii="David" w:hAnsi="David"/>
          <w:rtl w:val="true"/>
        </w:rPr>
        <w:t>שמ</w:t>
      </w:r>
      <w:r>
        <w:rPr>
          <w:rFonts w:ascii="David" w:hAnsi="David"/>
          <w:rtl w:val="true"/>
        </w:rPr>
        <w:t>דובר בהחזקת אקדח</w:t>
      </w:r>
      <w:r>
        <w:rPr>
          <w:rFonts w:ascii="David" w:hAnsi="David"/>
          <w:rtl w:val="true"/>
        </w:rPr>
        <w:t xml:space="preserve"> חצי אוטומטי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כשהוא </w:t>
      </w:r>
      <w:r>
        <w:rPr>
          <w:rFonts w:ascii="David" w:hAnsi="David"/>
          <w:u w:val="single"/>
          <w:rtl w:val="true"/>
        </w:rPr>
        <w:t>טעון</w:t>
      </w:r>
      <w:r>
        <w:rPr>
          <w:rFonts w:ascii="David" w:hAnsi="David"/>
          <w:rtl w:val="true"/>
        </w:rPr>
        <w:t xml:space="preserve"> במחסנית</w:t>
      </w:r>
      <w:r>
        <w:rPr>
          <w:rFonts w:ascii="David" w:hAnsi="David"/>
          <w:rtl w:val="true"/>
        </w:rPr>
        <w:t xml:space="preserve"> עם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u w:val="single"/>
          <w:rtl w:val="true"/>
        </w:rPr>
        <w:t>בהחבאתו</w:t>
      </w:r>
      <w:r>
        <w:rPr>
          <w:rFonts w:ascii="David" w:hAnsi="David"/>
          <w:rtl w:val="true"/>
        </w:rPr>
        <w:t xml:space="preserve"> מפני השוטרים</w:t>
      </w:r>
      <w:r>
        <w:rPr>
          <w:rFonts w:ascii="David" w:hAnsi="David"/>
          <w:rtl w:val="true"/>
        </w:rPr>
        <w:t xml:space="preserve"> מאחורי גבו של אחיו שישב בסמוך אליו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יש לומר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הגם שלנאשם מיוחסת החזקת הנשק באותו רגע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שנסיבות ההחזקה חמורות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הואיל וכאמור מדובר בנשק טעון במחסנית ומוכן 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בניסיון להסליקו מעיני השוטרים מאחורי גבו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העמדת האח בסיכון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שהתממש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שהחזקת הנשק תיוחס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אמנם לא נגרם נזק קונקרטי </w:t>
      </w:r>
      <w:r>
        <w:rPr>
          <w:rFonts w:ascii="David" w:hAnsi="David"/>
          <w:rtl w:val="true"/>
        </w:rPr>
        <w:t>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</w:t>
      </w:r>
      <w:r>
        <w:rPr>
          <w:rFonts w:ascii="David" w:hAnsi="David"/>
          <w:rtl w:val="true"/>
        </w:rPr>
        <w:t>הנזק הפוטנציאלי שב</w:t>
      </w:r>
      <w:r>
        <w:rPr>
          <w:rFonts w:ascii="David" w:hAnsi="David"/>
          <w:rtl w:val="true"/>
        </w:rPr>
        <w:t xml:space="preserve">החזקת </w:t>
      </w:r>
      <w:r>
        <w:rPr>
          <w:rFonts w:ascii="David" w:hAnsi="David"/>
          <w:rtl w:val="true"/>
        </w:rPr>
        <w:t xml:space="preserve">אקדח טעון </w:t>
      </w:r>
      <w:r>
        <w:rPr>
          <w:rFonts w:ascii="David" w:hAnsi="David"/>
          <w:rtl w:val="true"/>
        </w:rPr>
        <w:t>על ידי מי שאינו הוסמך לכך הוא משמעותי</w:t>
      </w:r>
      <w:r>
        <w:rPr>
          <w:rFonts w:ascii="David" w:hAnsi="David"/>
          <w:rtl w:val="true"/>
        </w:rPr>
        <w:t xml:space="preserve"> והדברים ידועים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ייאמר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הצגת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לעובדות שלא בא זכרן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לפי בקשת הצדדים מיום </w:t>
      </w:r>
      <w:r>
        <w:rPr>
          <w:rFonts w:cs="David" w:ascii="David" w:hAnsi="David"/>
        </w:rPr>
        <w:t>30.11.22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לקביעת מועד דיון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מדובר בכתב אישום </w:t>
      </w:r>
      <w:r>
        <w:rPr>
          <w:rFonts w:ascii="David" w:hAnsi="David"/>
          <w:u w:val="single"/>
          <w:rtl w:val="true"/>
        </w:rPr>
        <w:t>מוסכם</w:t>
      </w:r>
      <w:r>
        <w:rPr>
          <w:rFonts w:ascii="David" w:hAnsi="David"/>
          <w:rtl w:val="true"/>
        </w:rPr>
        <w:t xml:space="preserve"> שהוגש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היתה כל מניעה לכלול בו עובדות מוסכמות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העובדות להן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לפיהן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כביכול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בנשק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החזקה רגעית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לאחר שהאקדח נזרק מגג הבית לחצר על ידי אחרים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בא זכרן בכתב האישום המוסכם 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הסתייגה מהן עוד בדיון שבמסגרתו הוצג 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מדיניות הענישה בעבירת החזקת נשק </w:t>
      </w:r>
      <w:r>
        <w:rPr>
          <w:rFonts w:ascii="David" w:hAnsi="David"/>
          <w:rtl w:val="true"/>
        </w:rPr>
        <w:t>מחמירה וכוללת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 מאסרים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שאורכם נגזר מנסיבות 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>העבירה ו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נעלמ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מעיני פסק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 אחדים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שהגישה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ממנה עולה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בית המשפט העליון הקל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עונשם של נאשמים שהורשעו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קיצור תקופת המאסר שהוטלה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תוך הוראה שהמאסר ירוצה בדרך של 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הנסיבות המיוחדות שפורטו באותם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שאתייחס אליהם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ייאמר שלקחתי בחשבון שהמקרה שלפניי אירע ביום </w:t>
      </w:r>
      <w:r>
        <w:rPr>
          <w:rFonts w:cs="David" w:ascii="David" w:hAnsi="David"/>
        </w:rPr>
        <w:t>20.3.21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שנכנס לתוקפו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7.12.21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קובע עונשי מינימום למבצעי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שיוטל עליהם רבע מהעונש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החליט בית המשפט מטעמים מיוחדים להקל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לגזור את הדין ברוח התיקון ולאורו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במקרים שאירעו טרם כניסתו לתוקף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start="425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אלא אם החליט בית המשפט מטעמים מיוחדים להקל בעונש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 xml:space="preserve"> 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(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 xml:space="preserve">סעיף </w:t>
      </w:r>
      <w:r>
        <w:rPr>
          <w:rFonts w:cs="David" w:ascii="David" w:hAnsi="David"/>
          <w:b/>
          <w:bCs/>
          <w:color w:val="333333"/>
          <w:shd w:fill="FFFFFF" w:val="clear"/>
        </w:rPr>
        <w:t>144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(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ז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)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ל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(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תיקון מס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' </w:t>
      </w:r>
      <w:r>
        <w:rPr>
          <w:rFonts w:cs="David" w:ascii="David" w:hAnsi="David"/>
          <w:b/>
          <w:bCs/>
          <w:color w:val="333333"/>
          <w:shd w:fill="FFFFFF" w:val="clear"/>
        </w:rPr>
        <w:t>140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 -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הוראת שעה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),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התשפ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ב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333333"/>
          <w:shd w:fill="FFFFFF" w:val="clear"/>
        </w:rPr>
        <w:t>2021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ס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 xml:space="preserve">ח </w:t>
      </w:r>
      <w:r>
        <w:rPr>
          <w:rFonts w:cs="David" w:ascii="David" w:hAnsi="David"/>
          <w:b/>
          <w:bCs/>
          <w:color w:val="333333"/>
          <w:shd w:fill="FFFFFF" w:val="clear"/>
        </w:rPr>
        <w:t>472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4456/21</w:t>
        </w:r>
      </w:hyperlink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אבו עבסה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 xml:space="preserve">פסקה </w:t>
      </w:r>
      <w:r>
        <w:rPr>
          <w:rFonts w:cs="David" w:ascii="David" w:hAnsi="David"/>
          <w:b/>
          <w:bCs/>
          <w:color w:val="333333"/>
          <w:shd w:fill="FFFFFF" w:val="clear"/>
        </w:rPr>
        <w:t>15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 (</w:t>
      </w:r>
      <w:r>
        <w:rPr>
          <w:rFonts w:cs="David" w:ascii="David" w:hAnsi="David"/>
          <w:b/>
          <w:bCs/>
          <w:color w:val="333333"/>
          <w:shd w:fill="FFFFFF" w:val="clear"/>
        </w:rPr>
        <w:t>23.1.2022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).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התיקון לחוק לא חל בענייננו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מאחר שהמעשים בהם הורשע המשיב נעשו עוד קודם לתיקון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333333"/>
          <w:shd w:fill="FFFFFF" w:val="clear"/>
          <w:rtl w:val="true"/>
        </w:rPr>
        <w:t>אך יש בו כדי לשקף את רצון המחוקק להחמיר בענישה בעבירות נשק</w:t>
      </w:r>
      <w:r>
        <w:rPr>
          <w:rFonts w:cs="David" w:ascii="David" w:hAnsi="David"/>
          <w:b/>
          <w:bCs/>
          <w:color w:val="333333"/>
          <w:shd w:fill="FFFFFF" w:val="clear"/>
          <w:rtl w:val="true"/>
        </w:rPr>
        <w:t>"</w:t>
      </w:r>
      <w:r>
        <w:rPr>
          <w:rFonts w:cs="David" w:ascii="David" w:hAnsi="David"/>
          <w:color w:val="333333"/>
          <w:shd w:fill="FFFFFF" w:val="clear"/>
          <w:rtl w:val="true"/>
        </w:rPr>
        <w:t xml:space="preserve"> 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426"/>
        <w:jc w:val="both"/>
        <w:rPr/>
      </w:pPr>
      <w:r>
        <w:rPr>
          <w:rFonts w:ascii="David" w:hAnsi="David"/>
          <w:rtl w:val="true"/>
        </w:rPr>
        <w:t>כך גם נאמר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13.3.22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–</w:t>
      </w:r>
    </w:p>
    <w:p>
      <w:pPr>
        <w:pStyle w:val="Normal"/>
        <w:spacing w:lineRule="auto" w:line="360"/>
        <w:ind w:start="425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תיקון זה אינו חל מטבע הדברים במקרה דנן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ואין בו כדי להשפיע על תוצאת הערעור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אלא שחקיקתו מדגישה לפנינו פעם נוספת את שידענו זה מכבר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הצורך לנקוט במדיניות ענישה מחמירה ומרתיעה כלפי מי שמסכנים את שלום הציבור וביטחונו בהפרת האיסורים הנוגעים לנשק וסחר בו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לפסיקה במסגרתה הוטלו על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צעירים נעדרי עבר פלילי אשר הודו בביצוע העבירה ונטלו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עונשי מאסר במתחמי ענישה הנעים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ראה</w:t>
      </w:r>
      <w:r>
        <w:rPr>
          <w:rFonts w:cs="David" w:ascii="David" w:hAnsi="David"/>
          <w:rtl w:val="true"/>
        </w:rPr>
        <w:t xml:space="preserve">: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2919/22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1.8.22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25.8.20</w:t>
      </w:r>
      <w:r>
        <w:rPr>
          <w:rFonts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46460-02-22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צואלחה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48471-05-22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כמאל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רמ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11053-10-22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קרוצי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23.3.23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ראה פסקי הדין אליהם הפנתה ההגנה </w:t>
      </w:r>
      <w:r>
        <w:rPr>
          <w:rFonts w:ascii="David" w:hAnsi="David"/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דובר </w:t>
      </w:r>
      <w:r>
        <w:rPr>
          <w:rFonts w:ascii="David" w:hAnsi="David"/>
          <w:rtl w:val="true"/>
        </w:rPr>
        <w:t>במערער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ר </w:t>
      </w:r>
      <w:r>
        <w:rPr>
          <w:rFonts w:ascii="David" w:hAnsi="David"/>
          <w:rtl w:val="true"/>
        </w:rPr>
        <w:t>החזיק ב</w:t>
      </w:r>
      <w:r>
        <w:rPr>
          <w:rFonts w:ascii="David" w:hAnsi="David"/>
          <w:rtl w:val="true"/>
        </w:rPr>
        <w:t xml:space="preserve">אקדח הזנקה שהוסב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וגזר עליו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העליון קיבל 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 xml:space="preserve">עמיד את העונש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מפרט טעמים ונימוקים מיוחדים שהביאו אותו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כדלקמן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לפנינו מקרה מיוחד שמכלול נסיבותיו מצדיק הקלה בעונשו של המערער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"[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השתתף באופן פעיל בקבוצה טיפולית בתחום מניעת אלימות והתרשמות שירות המבחן היא כי הוא מתמיד בטיפול ונתרם ממנו רבות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גם בדיון שנערך לפנינו הדגישה נציגת שירות המבחן את התגייסותו המלאה של המערער לתכנית השיקומית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בשים לב לנסיבותיו האישיות הייחודיות של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לקשיים הראייתיים שהובילו לתיקון כתב האישום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מתאני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במערער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החזיק אקדח טעון במחסנית ובה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</w:t>
      </w:r>
      <w:r>
        <w:rPr>
          <w:rFonts w:ascii="David" w:hAnsi="David"/>
          <w:rtl w:val="true"/>
        </w:rPr>
        <w:t xml:space="preserve">חוזי </w:t>
      </w:r>
      <w:r>
        <w:rPr>
          <w:rFonts w:ascii="David" w:hAnsi="David"/>
          <w:rtl w:val="true"/>
        </w:rPr>
        <w:t>קבע מ</w:t>
      </w:r>
      <w:r>
        <w:rPr>
          <w:rFonts w:ascii="David" w:hAnsi="David"/>
          <w:rtl w:val="true"/>
        </w:rPr>
        <w:t xml:space="preserve">תחם עונש </w:t>
      </w:r>
      <w:r>
        <w:rPr>
          <w:rFonts w:ascii="David" w:hAnsi="David"/>
          <w:rtl w:val="true"/>
        </w:rPr>
        <w:t xml:space="preserve">הולם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b/>
          <w:b/>
          <w:bCs/>
          <w:rtl w:val="true"/>
        </w:rPr>
        <w:t>התלבט</w:t>
      </w:r>
      <w:r>
        <w:rPr>
          <w:rFonts w:ascii="David" w:hAnsi="David"/>
          <w:rtl w:val="true"/>
        </w:rPr>
        <w:t xml:space="preserve"> אם יש מקום להתערבותו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מאחר 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העונש שהושת על המערער הוא מתון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לבסוף קיבל את הערעור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עמיד את העונש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מן הטעמים הבאים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בהינתן עברו הנקי של המערער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בהינתן המלצת שירות המבחן בתסקיר העדכני החיובי ביותר שהונח בפנינו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בהינתן נסיבותיו האישיות של המערער וגילו הצעיר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בהינתן כל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מצאנו שאין מקום לשלוח אותו לראשונה בחייו אל מאחורי סורג ובריח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עאסלה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במערער 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החזיק </w:t>
      </w:r>
      <w:r>
        <w:rPr>
          <w:rFonts w:ascii="David" w:hAnsi="David"/>
          <w:rtl w:val="true"/>
        </w:rPr>
        <w:t xml:space="preserve">תת מקלע </w:t>
      </w:r>
      <w:r>
        <w:rPr>
          <w:rFonts w:ascii="David" w:hAnsi="David"/>
          <w:rtl w:val="true"/>
        </w:rPr>
        <w:t xml:space="preserve">מאולתר </w:t>
      </w:r>
      <w:r>
        <w:rPr>
          <w:rFonts w:ascii="David" w:hAnsi="David"/>
          <w:rtl w:val="true"/>
        </w:rPr>
        <w:t>מסוג קרלו ומחסנית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גזר עליו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 שנסיבות המקרה ונסיבותיו האישיות של המערער מצדיקות חריגה מרמת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בין היתר מהשיקולים הבאים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סיוע למשפחה והיותו סטודנט במכללה לקראת קבלת תואר </w:t>
      </w:r>
      <w:r>
        <w:rPr>
          <w:rFonts w:ascii="David" w:hAnsi="David"/>
          <w:rtl w:val="true"/>
        </w:rPr>
        <w:t>אקדמי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העניק בית המשפט העליון לשיתוף הפעולה החריג של המערער עם המשטרה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אשר התבטא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הובלת השוטרים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מיוזמתו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למקום בו הסליק את הנשק לאחר שבחיפוש בביתו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לשם הגיעו השוטרים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נמצא דבר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שיתוף הפעולה שלו והודייתו המיידית במשטרה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 רב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כמו גם לעובדה שהמערער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לאחר מעצרו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ומתוך רצון להעמיק את מודעותו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עמדותיו ותפיסותיו התרבותיות וההתנהגותיות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שהביאו אותו לביצוע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להשתתף בקבוצה טיפולית ייעודית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במסגרת שירות המבחן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גילה מעורבות פעילה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4978/19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rtl w:val="true"/>
        </w:rPr>
        <w:t>בו מנסור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ב</w:t>
      </w:r>
      <w:r>
        <w:rPr>
          <w:rFonts w:ascii="David" w:hAnsi="David"/>
          <w:rtl w:val="true"/>
        </w:rPr>
        <w:t xml:space="preserve">שני אחים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הורשעו בכך שברכבם נמצא </w:t>
      </w:r>
      <w:r>
        <w:rPr>
          <w:rFonts w:ascii="David" w:hAnsi="David"/>
          <w:rtl w:val="true"/>
        </w:rPr>
        <w:t xml:space="preserve">כלי </w:t>
      </w:r>
      <w:r>
        <w:rPr>
          <w:rFonts w:ascii="David" w:hAnsi="David"/>
          <w:rtl w:val="true"/>
        </w:rPr>
        <w:t xml:space="preserve">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אחד הורשע בנשיאה והובלה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 הורשע בהחזקה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 ב</w:t>
      </w:r>
      <w:r>
        <w:rPr>
          <w:rFonts w:ascii="David" w:hAnsi="David"/>
          <w:rtl w:val="true"/>
        </w:rPr>
        <w:t>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החליט להקל בעונשו של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b/>
          <w:b/>
          <w:bCs/>
          <w:rtl w:val="true"/>
        </w:rPr>
        <w:t>משיקולי שיקום ובשל הליך טיפולי מוצלח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עונשו 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מטעמי אחידות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העמיד את עונשו של המערער השני על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 אליה הפנתה ההגנה היא בבחינת היוצא מן הכלל אשר אינו מעיד על הכלל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נוכח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הפגיעה בערכים </w:t>
      </w:r>
      <w:r>
        <w:rPr>
          <w:rFonts w:ascii="David" w:hAnsi="David"/>
          <w:rtl w:val="true"/>
        </w:rPr>
        <w:t>החבריים ה</w:t>
      </w:r>
      <w:r>
        <w:rPr>
          <w:rFonts w:ascii="David" w:hAnsi="David"/>
          <w:rtl w:val="true"/>
        </w:rPr>
        <w:t>מוגנים ומדיניות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קובע כי מתחם העונש ההולם נע בין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ששקלתי את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החלטתי למקם את עונשו של הנאשם </w:t>
      </w:r>
      <w:r>
        <w:rPr>
          <w:rFonts w:ascii="David" w:hAnsi="David"/>
          <w:u w:val="single"/>
          <w:rtl w:val="true"/>
        </w:rPr>
        <w:t>בתחתית</w:t>
      </w:r>
      <w:r>
        <w:rPr>
          <w:rFonts w:ascii="David" w:hAnsi="David"/>
          <w:rtl w:val="true"/>
        </w:rPr>
        <w:t xml:space="preserve"> מתחם העונש ההולם אותו קבעתי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טעמיי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צעיר</w:t>
      </w:r>
      <w:r>
        <w:rPr>
          <w:rFonts w:ascii="David" w:hAnsi="David"/>
          <w:rtl w:val="true"/>
        </w:rPr>
        <w:t xml:space="preserve">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ביצוע העבירה היה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התסקיר שהוגש בעניינו של הנאשם חיובי בעיקרו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ומצביע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תפקוד נורמטיבי 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יציבות תעסוקתית ועזרה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עולה כי קיימת רמת סיכון נמוכה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חומרה נמוכה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וחסך בזמן שיפוטי יקר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מהנתונים הבאים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מקהים</w:t>
      </w:r>
      <w:r>
        <w:rPr>
          <w:rFonts w:ascii="David" w:hAnsi="David"/>
          <w:rtl w:val="true"/>
        </w:rPr>
        <w:t xml:space="preserve"> ממידת נטילת האחריות וממידת שיתוף הפעולה של הנאשם עם רשויות אכיפת החוק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המקרה אירע ביום </w:t>
      </w:r>
      <w:r>
        <w:rPr>
          <w:rFonts w:cs="David" w:ascii="David" w:hAnsi="David"/>
        </w:rPr>
        <w:t>20.3.21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רק ביום </w:t>
      </w:r>
      <w:r>
        <w:rPr>
          <w:rFonts w:cs="David" w:ascii="David" w:hAnsi="David"/>
        </w:rPr>
        <w:t>12.7.22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בחלוף </w:t>
      </w:r>
      <w:r>
        <w:rPr>
          <w:rFonts w:ascii="David" w:hAnsi="David"/>
          <w:b/>
          <w:b/>
          <w:bCs/>
          <w:rtl w:val="true"/>
        </w:rPr>
        <w:t>שנה וחצי מהאירוע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הגיע הנאשם למשטרה </w:t>
      </w:r>
      <w:r>
        <w:rPr>
          <w:rFonts w:ascii="David" w:hAnsi="David"/>
          <w:rtl w:val="true"/>
        </w:rPr>
        <w:t>והודה ב</w:t>
      </w:r>
      <w:r>
        <w:rPr>
          <w:rFonts w:ascii="David" w:hAnsi="David"/>
          <w:rtl w:val="true"/>
        </w:rPr>
        <w:t xml:space="preserve">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נע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כשהוא יודע שברקע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מזה זמן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תנהל </w:t>
      </w:r>
      <w:r>
        <w:rPr>
          <w:rFonts w:ascii="David" w:hAnsi="David"/>
          <w:rtl w:val="true"/>
        </w:rPr>
        <w:t>נגד אחיו משפט פלילי המייחס לו החזקה של אותו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שסמוך לאחר האירוע הכחיש בחקירתו כל אחריות למעשה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ב</w:t>
      </w:r>
      <w:r>
        <w:rPr>
          <w:rFonts w:ascii="David" w:hAnsi="David"/>
          <w:rtl w:val="true"/>
        </w:rPr>
        <w:t xml:space="preserve">משטרה וגם בפני שרות המבחן מסר הנאשם </w:t>
      </w:r>
      <w:r>
        <w:rPr>
          <w:rFonts w:ascii="David" w:hAnsi="David"/>
          <w:b/>
          <w:b/>
          <w:bCs/>
          <w:rtl w:val="true"/>
        </w:rPr>
        <w:t>הודאה מסויגת</w:t>
      </w:r>
      <w:r>
        <w:rPr>
          <w:rFonts w:ascii="David" w:hAnsi="David"/>
          <w:rtl w:val="true"/>
        </w:rPr>
        <w:t xml:space="preserve"> אשר </w:t>
      </w:r>
      <w:r>
        <w:rPr>
          <w:rFonts w:ascii="David" w:hAnsi="David"/>
          <w:b/>
          <w:b/>
          <w:bCs/>
          <w:rtl w:val="true"/>
        </w:rPr>
        <w:t>אינה מצביעה על נטילת אחריות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</w:t>
      </w:r>
      <w:r>
        <w:rPr>
          <w:rFonts w:ascii="David" w:hAnsi="David"/>
          <w:rtl w:val="true"/>
        </w:rPr>
        <w:t xml:space="preserve">הנשק </w:t>
      </w:r>
      <w:r>
        <w:rPr>
          <w:rFonts w:ascii="David" w:hAnsi="David"/>
          <w:rtl w:val="true"/>
        </w:rPr>
        <w:t xml:space="preserve">נזרק מהגג על ידי אחרים ולמעשה </w:t>
      </w:r>
      <w:r>
        <w:rPr>
          <w:rFonts w:ascii="David" w:hAnsi="David"/>
          <w:rtl w:val="true"/>
        </w:rPr>
        <w:t>אינו שייך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</w:t>
      </w:r>
      <w:r>
        <w:rPr>
          <w:rFonts w:ascii="David" w:hAnsi="David"/>
          <w:rtl w:val="true"/>
        </w:rPr>
        <w:t>מותו של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כגורם 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b/>
          <w:b/>
          <w:bCs/>
          <w:rtl w:val="true"/>
        </w:rPr>
        <w:t>חוסר בשלות מצד הנאשם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נוטה להתנהג באופן אימפולסיבי ללא הפעלת שיקול דעת אודות השלכות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 שרות המבחן להטלת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לצד צו מבחן אינה הולמת את מידת החומרה של העבירה בה עסקינן ואת נסיבות הביצוע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אינה הולמת את נטילת האחריות המאוחרת והמסויגת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טען לנסיבות החזקה שאינן עולות בקנה אחד עם האמור בכתב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ואינה הולמת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לבית המשפט שיקול דעת רחב בבואו לקבוע את העונש הראוי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כשהמלצת שרות המבחן היא שיקול אחד מיני רבים שעליו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בית המשפט הוא האמון על האינטרס הציבורי ואילו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מתמקד יותר בנסיבותיו האישיות של הנאשם שלפניו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</w:t>
      </w:r>
      <w:r>
        <w:rPr>
          <w:rFonts w:ascii="David" w:hAnsi="David"/>
          <w:rtl w:val="true"/>
        </w:rPr>
        <w:t xml:space="preserve">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ascii="David" w:hAnsi="David"/>
          <w:color w:val="000000"/>
          <w:rtl w:val="true"/>
        </w:rPr>
        <w:t xml:space="preserve">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התנגדות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יתייצב לריצוי עונשו ביום </w:t>
      </w:r>
      <w:r>
        <w:rPr>
          <w:rFonts w:cs="David" w:ascii="David" w:hAnsi="David"/>
        </w:rPr>
        <w:t>3.12.23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סוהר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כשבידו תעודת זהות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להבטחת התייצבותו למאסר יחתום הנאשם על התחייבות עצמית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תיחתם ערבות צד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על 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יכול על ידי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 נסראללה 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xxxxxxxxx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מוצא נגד הנאשם צו עיכוב יציאה מן הארץ אשר יבוטל עם התייצבותו למאסר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</w:t>
      </w:r>
      <w:r>
        <w:rPr>
          <w:rFonts w:ascii="David" w:hAnsi="David"/>
          <w:color w:val="000000"/>
          <w:rtl w:val="true"/>
        </w:rPr>
        <w:t xml:space="preserve">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מיום 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יעבור כל עבירה הקשורה בנשק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2,000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או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 מאסר תמורתו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תשלומים חודשיים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שווים ורצופים החל ביום </w:t>
      </w:r>
      <w:r>
        <w:rPr>
          <w:rFonts w:cs="David" w:ascii="David" w:hAnsi="David"/>
          <w:color w:val="000000"/>
        </w:rPr>
        <w:t>15.9.23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ישולם תשלום במועד יעמוד כל הסכום לפירעון מיידי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מוצגים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 ותחמושת להשמדה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משפט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מחוזי מרכז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2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יולי </w:t>
      </w:r>
      <w:r>
        <w:rPr>
          <w:rFonts w:cs="David" w:ascii="David" w:hAnsi="David"/>
          <w:b/>
          <w:bCs/>
        </w:rPr>
        <w:t>2023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אריאל סיני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הנאשם ובא</w:t>
      </w:r>
      <w:r>
        <w:rPr>
          <w:rFonts w:cs="David" w:ascii="David" w:hAnsi="David"/>
          <w:b/>
          <w:bCs/>
          <w:rtl w:val="true"/>
        </w:rPr>
        <w:t>-</w:t>
      </w:r>
      <w:bookmarkEnd w:id="12"/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68319-11-22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כרם נסראללה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8513828" TargetMode="External"/><Relationship Id="rId7" Type="http://schemas.openxmlformats.org/officeDocument/2006/relationships/hyperlink" Target="http://www.nevo.co.il/case/27603872" TargetMode="External"/><Relationship Id="rId8" Type="http://schemas.openxmlformats.org/officeDocument/2006/relationships/hyperlink" Target="http://www.nevo.co.il/case/27115374" TargetMode="External"/><Relationship Id="rId9" Type="http://schemas.openxmlformats.org/officeDocument/2006/relationships/hyperlink" Target="http://www.nevo.co.il/case/20531134" TargetMode="External"/><Relationship Id="rId10" Type="http://schemas.openxmlformats.org/officeDocument/2006/relationships/hyperlink" Target="http://www.nevo.co.il/case/13093744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734980" TargetMode="External"/><Relationship Id="rId15" Type="http://schemas.openxmlformats.org/officeDocument/2006/relationships/hyperlink" Target="http://www.nevo.co.il/case/28513828" TargetMode="External"/><Relationship Id="rId16" Type="http://schemas.openxmlformats.org/officeDocument/2006/relationships/hyperlink" Target="http://www.nevo.co.il/case/28200855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8567439" TargetMode="External"/><Relationship Id="rId19" Type="http://schemas.openxmlformats.org/officeDocument/2006/relationships/hyperlink" Target="http://www.nevo.co.il/case/26986974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6383419" TargetMode="External"/><Relationship Id="rId22" Type="http://schemas.openxmlformats.org/officeDocument/2006/relationships/hyperlink" Target="http://www.nevo.co.il/case/28331430" TargetMode="External"/><Relationship Id="rId23" Type="http://schemas.openxmlformats.org/officeDocument/2006/relationships/hyperlink" Target="http://www.nevo.co.il/case/29043276" TargetMode="External"/><Relationship Id="rId24" Type="http://schemas.openxmlformats.org/officeDocument/2006/relationships/hyperlink" Target="http://www.nevo.co.il/case/28963593" TargetMode="External"/><Relationship Id="rId25" Type="http://schemas.openxmlformats.org/officeDocument/2006/relationships/hyperlink" Target="http://www.nevo.co.il/case/26418313" TargetMode="External"/><Relationship Id="rId26" Type="http://schemas.openxmlformats.org/officeDocument/2006/relationships/hyperlink" Target="http://www.nevo.co.il/case/27721185" TargetMode="External"/><Relationship Id="rId27" Type="http://schemas.openxmlformats.org/officeDocument/2006/relationships/hyperlink" Target="http://www.nevo.co.il/case/25892549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2024-07-02T08:19:00Z</dcterms:created>
  <dc:creator> </dc:creator>
  <dc:description/>
  <cp:keywords/>
  <dc:language>en-IL</dc:language>
  <cp:lastModifiedBy>h1</cp:lastModifiedBy>
  <dcterms:modified xsi:type="dcterms:W3CDTF">2024-07-02T08:19:00Z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כרם נסראללה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28513828:3;27603872;27115374;20531134;13093744;25824863;27734980;28200855;28567439;26986974;26913995;26383419;28331430;29043276;28963593;26418313;27721185;25892549</vt:lpwstr>
  </property>
  <property fmtid="{D5CDD505-2E9C-101B-9397-08002B2CF9AE}" pid="9" name="CITY">
    <vt:lpwstr>כ"ס</vt:lpwstr>
  </property>
  <property fmtid="{D5CDD505-2E9C-101B-9397-08002B2CF9AE}" pid="10" name="DATE">
    <vt:lpwstr>20230719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</vt:lpwstr>
  </property>
  <property fmtid="{D5CDD505-2E9C-101B-9397-08002B2CF9AE}" pid="15" name="LAWYER">
    <vt:lpwstr>שירה מוהר;אלי כהן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68319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380020230719</vt:lpwstr>
  </property>
  <property fmtid="{D5CDD505-2E9C-101B-9397-08002B2CF9AE}" pid="34" name="TYPE_N_DATE">
    <vt:lpwstr>38020230719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