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6875-02-22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חתלה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טל לחיאני שהם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שוויצר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אנס אבו חתלה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זיאד אבו סנימה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כתב אישום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bookmarkStart w:id="8" w:name="ABSTRACT_START"/>
      <w:bookmarkEnd w:id="8"/>
      <w:r>
        <w:rPr>
          <w:rFonts w:ascii="Arial" w:hAnsi="Arial" w:cs="Arial"/>
          <w:rtl w:val="true"/>
        </w:rPr>
        <w:t>הנאשמים הודו והורשעו במסגרת הסדר טיעון בביצוע עבירת הסתננות מזוינת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</w:rPr>
          <w:t>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רישא ל</w:t>
      </w:r>
      <w:hyperlink r:id="rId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1954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ההסתננות</w:t>
      </w:r>
      <w:r>
        <w:rPr>
          <w:rFonts w:cs="Arial" w:ascii="Arial" w:hAnsi="Arial"/>
          <w:b/>
          <w:bCs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</w:rPr>
          <w:t>144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מכתב האישום המתוקן עולה כי הנאשמים הם תושבי 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ובמועד הרלבנטי לכתב האישום לא היו בעלי היתר כניסה לישראל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26/01/22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קשרו הנאשמים קשר להסתנן לישראל כשהם נושאים עימם רימון וכלי חותך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קטאר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וזאת כדי להיעצר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רכשו יחד מאחר בעזה רימון תמורת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26/01/22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התקרבו לגדר המערכת ועברו אותה לתוך שטח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הבחינו בנאשמים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עצרו אותם ומצאו את הרימון והקטאר על גופם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הרימון פוצץ במקום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הסדר הטיעון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>05/22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הוצג הסדר טיעון 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הנאשמים בכתב האישום המתוקן מבלי שהוצגו הסכמות לשאלת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המאשימה הפנתה בטיעוניה הכתובים לעונש לחומרת העבירות עליהן נותנים הנאשמים את הדין ולתכליתו של חוק ההסתננות – תכלית ביטחונית והרתעתית ולערך החברתי המוגן של שמירה על גבולות המדינה מפני מסתננים לצורך שמירה על ביטחון חייליה ואזרחיה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זאת ביתר שאת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מסתננים מתוך שטח הנשלט על ידי ארגון טרור מוכרז כשהם נושאים עימם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שמוביל אף להשקעת משאבים רבים של גורמי הביטחון ולסיכונם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הפנתה לערך החברתי המוגן שנפגע כתוצאה מעבירות בנשק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שמירה על ביטחון הציבור והסדר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הפנתה לריבוי עבירות אלה שהפכו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ממש – דבר המחייב החמרה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המאשימה טענה כי בהתאם לפסיקה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טעמים מיוחדים אין לקבוע את הרף התחתון של הענישה מתחת לעונש המינימום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ביצוע עבירת הנשק בלבד עומד על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בשים לב לתיקון </w:t>
      </w:r>
      <w:r>
        <w:rPr>
          <w:rFonts w:cs="Arial" w:ascii="Arial" w:hAnsi="Arial"/>
          <w:b/>
          <w:bCs/>
        </w:rPr>
        <w:t>140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שנכנס לתוקף ביום </w:t>
      </w:r>
      <w:r>
        <w:rPr>
          <w:rFonts w:cs="Arial" w:ascii="Arial" w:hAnsi="Arial"/>
        </w:rPr>
        <w:t>08/12/21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כי במקרה זה – עבירת הנשק היא הפחות חמורה מבין העבירות עליהן נותנים הנאשמים את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לאור המפורט עתרה המאשימה למתחם עונש הולם הנע בין </w:t>
      </w:r>
      <w:r>
        <w:rPr>
          <w:rFonts w:cs="Arial" w:ascii="Arial" w:hAnsi="Arial"/>
        </w:rPr>
        <w:t>3-6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והפנתה לפסיקה כתמיכה בעתירתה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לקביעת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בגדרי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עתרה למקם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בתחתית המתחם ולהטיל עליו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לצד מאסר מותנה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בשים לב להיעדר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באשר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כי עונש מאסר מותנה אשר היה תלוי ועומד כנגדו לא הרתיעו מלשוב ולבצע את העבירה ואף לבצע את עבירת ההסתננות כשהוא מזוין – עתרה המאשימה למקמו באמצע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ולהטיל עליו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לצד הפעלת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שירצה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להטיל עליו מאסר מותנה ממושך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טען כי העבירות בוצעו על רקע כלכלי ולא ממניע ביטחוני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מטרת הנאשמים הייתה להיכלא ומשכך הסתננו כשברשותם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כראייה לכך הפנה לעובדה שהנאשמים לא ניסו לפגוע בחיילים ברימון שהיה ברשותם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טען כי אף המאשימה איננה סבורה שמדובר במי שמטרתם הייתה לפגע – שכן בחרה שלא לייחס להם מטרה שכזו בכתב האישום אשר הוגש כנגדם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כי המתחם אליו עתרה המאשימה מוגזם ומשרת את מטרת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בית המשפט לא צריך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לתת יד לעניין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טען כי יש להתחשב בגילם הצעיר של הנאשמים ולרקע הכלכלי המורכב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להחמיר עימם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קביעת מתחם העונש ההולם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hyperlink r:id="rId12"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</w:rPr>
          <w:t>40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ג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אין מחלוקת בין הצדדים כי כתב האישום מתאר </w:t>
      </w:r>
      <w:r>
        <w:rPr>
          <w:rFonts w:ascii="Arial" w:hAnsi="Arial" w:cs="Arial"/>
          <w:b/>
          <w:b/>
          <w:bCs/>
          <w:rtl w:val="true"/>
        </w:rPr>
        <w:t>אירוע אחד</w:t>
      </w:r>
      <w:r>
        <w:rPr>
          <w:rFonts w:ascii="Arial" w:hAnsi="Arial" w:cs="Arial"/>
          <w:rtl w:val="true"/>
        </w:rPr>
        <w:t xml:space="preserve"> שבגינו יש לקבוע מתחם עונש הולם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, </w:t>
      </w:r>
      <w:r>
        <w:rPr>
          <w:rtl w:val="true"/>
        </w:rPr>
        <w:t>ריבונות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, </w:t>
      </w:r>
      <w:r>
        <w:rPr>
          <w:rtl w:val="true"/>
        </w:rPr>
        <w:t>ולעבירת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5746/06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31/07/07</w:t>
      </w:r>
      <w:r>
        <w:rPr>
          <w:b/>
          <w:bCs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tl w:val="true"/>
        </w:rPr>
        <w:t>")].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הבהירו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לנקוט יד קשה כנגד מבצעי עבירות ההסתננות המזוינת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כך לדוגמא ב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5059/09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שרתאחה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15/10/09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שרתאחה</w:t>
      </w:r>
      <w:r>
        <w:rPr>
          <w:rFonts w:cs="David" w:ascii="David" w:hAnsi="David"/>
          <w:rtl w:val="true"/>
        </w:rPr>
        <w:t xml:space="preserve">")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מופלגת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עבירת נשיאת הנשק לכשעצמה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הרימון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ענישה 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סעיף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144</w:t>
        </w:r>
        <w:r>
          <w:rPr>
            <w:rStyle w:val="Hyperlink"/>
            <w:rFonts w:cs="Calibri" w:ascii="Calibri" w:hAnsi="Calibri"/>
            <w:b/>
            <w:bCs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יפחת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מרבע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המרבי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שנקבע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החליט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מטעמים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מיוחדים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שיירשמו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להקל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בעונשו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קטן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יהיה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בהעדר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טעמים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מיוחדים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כולו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תנאי</w:t>
      </w:r>
      <w:r>
        <w:rPr>
          <w:b/>
          <w:bCs/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לסעיף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144</w:t>
        </w:r>
        <w:r>
          <w:rPr>
            <w:rStyle w:val="Hyperlink"/>
            <w:rFonts w:cs="Calibri" w:ascii="Calibri" w:hAnsi="Calibri"/>
            <w:b/>
            <w:bCs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 עונש מינימום לעבירה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המחוקק להביע דעתו באשר לצורך בהחמרה בענישה בעבירות מסוג 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 בדברי ההסבר להצעת חוק זו מלמד כי הרקע לקביעת עונש המינימום נבע מגידול משמעותי בעבירות החזקת נשק ומספר העבירות הקשורות לעבירה 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כך לדוגמה בשנת </w:t>
      </w:r>
      <w:r>
        <w:rPr>
          <w:rFonts w:cs="Calibri" w:ascii="Calibri" w:hAnsi="Calibri"/>
        </w:rPr>
        <w:t>2020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הגיעו מספר אירועי הירי לשיא של </w:t>
      </w:r>
      <w:r>
        <w:rPr>
          <w:rFonts w:cs="Calibri" w:ascii="Calibri" w:hAnsi="Calibri"/>
        </w:rPr>
        <w:t>10,874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 העלייה במספר עבירות הנשק שלא כדין וכתוצאה מכך לעליה במספר אירועי הירי במדינה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המחוקק להביא להחמרה בענישה על ידי קביעת עונש מינימו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שמדובר בכלי חריג ויוצא דופן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דברי ההסבר ל</w:t>
      </w:r>
      <w:r>
        <w:rPr>
          <w:rFonts w:ascii="Calibri" w:hAnsi="Calibri" w:cs="Calibri"/>
          <w:b/>
          <w:b/>
          <w:bCs/>
          <w:rtl w:val="true"/>
        </w:rPr>
        <w:t>הצ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 הכנסת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872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מיום </w:t>
      </w:r>
      <w:r>
        <w:rPr>
          <w:rFonts w:cs="Calibri" w:ascii="Calibri" w:hAnsi="Calibri"/>
          <w:b/>
          <w:bCs/>
        </w:rPr>
        <w:t>03/08/2021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על אף שתיקון זה נכנס לתוקף אך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מגמת ההחמרה והצורך בה נקבע כבר לפני שנים רבות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כך למשל ב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hyperlink r:id="rId18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פס ואח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19/04/04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נקבע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השוררת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בארץ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והאידאולוגית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כאחד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נהגו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בסלחנות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הרימו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לעקירת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שהתפשטה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במקומותינו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והתדרדרה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ביטחונו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לפני מספר ימים נקבע ב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נגד 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09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 מדינת ישראל נגד פלוני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מדיניות הענישה בעבירות נשק שבית משפט זה קבע בשורה ארוכה של פסקי דין הופנמה אך באופן חלקי – וחבל שכך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 משפט זה יישם את מדיניות ההחמרה האמורה ביחס לכלל עבירות נשק בשורה ארוכה של פסקי 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מדיניות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מתפשרת זו קיבלה באחרונה ביטוי סטטוטורי </w:t>
      </w:r>
      <w:r>
        <w:rPr>
          <w:rFonts w:ascii="David" w:hAnsi="David"/>
          <w:b/>
          <w:b/>
          <w:bCs/>
          <w:color w:val="000000"/>
          <w:rtl w:val="true"/>
        </w:rPr>
        <w:t xml:space="preserve">בסעיף </w:t>
      </w:r>
      <w:r>
        <w:rPr>
          <w:rFonts w:cs="David" w:ascii="David" w:hAnsi="David"/>
          <w:b/>
          <w:bCs/>
          <w:color w:val="000000"/>
        </w:rPr>
        <w:t>144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ז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אשר חוקק במסגרת 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..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 המחמירה והבלתי מתפרשת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4077/22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(‏</w:t>
      </w:r>
      <w:r>
        <w:rPr>
          <w:rFonts w:cs="David" w:ascii="David" w:hAnsi="David"/>
          <w:b/>
          <w:bCs/>
        </w:rPr>
        <w:t>28.7.2022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בית משפט שמרחם על העבריין אינו מרחם על הקורבן הבא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והשוו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3792/18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11.11.2018</w:t>
      </w:r>
      <w:r>
        <w:rPr>
          <w:rFonts w:cs="David" w:ascii="David" w:hAnsi="David"/>
          <w:b/>
          <w:bCs/>
          <w:rtl w:val="true"/>
        </w:rPr>
        <w:t>))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מדיניות הענישה הנוהגת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4232/20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12/11/20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)].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ד מדינת ישראל נגד פלוני </w:t>
      </w:r>
      <w:r>
        <w:rPr>
          <w:rFonts w:ascii="David" w:hAnsi="David"/>
          <w:rtl w:val="true"/>
        </w:rPr>
        <w:t>נדון ערעור</w:t>
      </w:r>
      <w:r>
        <w:rPr>
          <w:rFonts w:ascii="David" w:hAnsi="David"/>
          <w:rtl w:val="true"/>
        </w:rPr>
        <w:t xml:space="preserve"> המדינה בעניינו ש</w:t>
      </w:r>
      <w:r>
        <w:rPr>
          <w:rFonts w:ascii="David" w:hAnsi="David"/>
          <w:rtl w:val="true"/>
        </w:rPr>
        <w:t>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עבירת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 וכניסה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שלא היה מורקה להיכנס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כשהוא נוסע ברחבי אום אל פאחם 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כאשר התבקש לעצור לבדיקת השוטרים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יצא מהרכב והחל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ואחרי שנתפס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נאבק בשוטר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שנעצר בעזרת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 נוספים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ובשל נסיבותיו האישיות של הנאשם והיעדר עבר פלילי – הטיל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ascii="David" w:hAnsi="David"/>
          <w:rtl w:val="true"/>
        </w:rPr>
        <w:t xml:space="preserve">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קיבל את ערעור המדינה</w:t>
      </w:r>
      <w:r>
        <w:rPr>
          <w:rFonts w:ascii="David" w:hAnsi="David"/>
          <w:rtl w:val="true"/>
        </w:rPr>
        <w:t xml:space="preserve"> על חומרת העונש וקבע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יש להחמיר מדיניות הענישה ביחס לכלל עבירות הנשק ועל כלל הנאשמים הבגירים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ללא סייגים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כי</w:t>
      </w:r>
      <w:r>
        <w:rPr>
          <w:rFonts w:ascii="David" w:hAnsi="David"/>
          <w:rtl w:val="true"/>
        </w:rPr>
        <w:t xml:space="preserve"> מתחם העונש </w:t>
      </w:r>
      <w:r>
        <w:rPr>
          <w:rFonts w:ascii="David" w:hAnsi="David"/>
          <w:rtl w:val="true"/>
        </w:rPr>
        <w:t xml:space="preserve">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30-42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בהיעדר נסיבות מיוחדות לחריגה מהמתחם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סביר להטיל על נאשם כאמור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מצדיקות הקלה מסוימת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מתקזזות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 ידי העבירות הנלוות שביצע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מאחר וערכאת ערעור אינה ממצה את הדין עם 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הוחמר עונשו של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7716/14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סעיפאן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27/04/15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עבירת הסתננות מזויינת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שהסתנן לישראל דרך גדר הגבול שבין רצועת עזה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 אחד מהם מחזיק בסכין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18-40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ובשל נסיבותיו האישיות של הנאשם והיעדר עבר פלילי – הטיל עליו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חומרת העונש וקבע כי הן מתחם העונש אשר נקבע והן העונש שהוטל על הנאשם – אינם חורגים ממדיניות הענישה הנהוגה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ד שרתאחה </w:t>
      </w:r>
      <w:r>
        <w:rPr>
          <w:rFonts w:ascii="David" w:hAnsi="David"/>
          <w:rtl w:val="true"/>
        </w:rPr>
        <w:t>נדון ערעורו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עבירת הסתננות ופגיעה ברכוש שהיה בה כדי לפגוע בביטחון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לאחר שחדר לישראל דרך גדר הגבול שבין רצועת עזה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שחתך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נעצר וגורש לרצועה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לאחר כחודשיים שב ונכנס לישראל דרך הגבול עם מצרים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הטיל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לצד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הערעור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החמיר עונשו של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המאסר המותנה שנותר על כנו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אף נוכח ההלכה לפיה ערכאת הערעור איננה ממצה את הדין עם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 כי בשל חומרת העבירות יש להטיל ענישה מרתיעה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ההרתעתית</w:t>
      </w:r>
      <w:r>
        <w:rPr>
          <w:rtl w:val="true"/>
        </w:rPr>
        <w:t>-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1715-07-21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שאוי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14/03/22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עבירת הסתננות מזויינת ועבירת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שעבר את גדר המערכת שבין רצועת עזה לישראל כשעל גופו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שנחזה להיות מטען מאולתר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להיעצר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העבירה בוצעה טרם כניסת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לתוקף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הנע בין </w:t>
      </w:r>
      <w:r>
        <w:rPr>
          <w:rFonts w:cs="David" w:ascii="David" w:hAnsi="David"/>
        </w:rPr>
        <w:t>26-48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בלבד ובהיעדר עבר – הסתפק בהטלת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בלבד בניכוי ימי מעצרו לצד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יצוין כי בתיק זה תלוי ועומד ערעור שטרם הוכרע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34630-12-21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דבארי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13/03/22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עבירת הסתננות מזויינת ועבירת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שעבר את גדר המערכת שבין רצועת עזה לישראל כשעל גופו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להיעצר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העבירה בוצעה טרם כניסת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לתוקף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הנע בין </w:t>
      </w:r>
      <w:r>
        <w:rPr>
          <w:rFonts w:cs="David" w:ascii="David" w:hAnsi="David"/>
        </w:rPr>
        <w:t>24-48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ובשל גילו הצעיר של הנאשם ובהיעדר עבר פלילי – הסתפק בהטלת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בלבד בניכוי ימי מעצרו לצד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 וקנס</w:t>
      </w:r>
      <w:r>
        <w:rPr>
          <w:rFonts w:cs="David" w:ascii="David" w:hAnsi="David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51971-12-21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אבו סנימה ואח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13/03/22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עבירת הסתננות מזויינת ועבירת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לאחר שעברו את גדר המערכת שבין רצועת עזה לישראל כשעל גופו של האחד רימון רסס ועל 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במטרה להיעצר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העבירה בוצעה לאחר כניסתו לתוקף של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הנע בין </w:t>
      </w:r>
      <w:r>
        <w:rPr>
          <w:rFonts w:cs="David" w:ascii="David" w:hAnsi="David"/>
        </w:rPr>
        <w:t>24-48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גילם הצעיר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נסיבותיהם האישיות ובהיעדר עבר פלילי – הסתפק בהטלת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בלבד בניכוי ימי מעצרם לצד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לא מצאתי לנכון ללמוד מ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66173-10-21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מאחר ופסק דין זה עסק בנאשם אשר אף ביצע עבירת ניסיון חבלה בכוונה מחמירה בנסיבות מעשה טרור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נסיבות ביצוע העבירה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b/>
          <w:b/>
          <w:bCs/>
          <w:rtl w:val="true"/>
        </w:rPr>
        <w:t xml:space="preserve"> נסיבות ביצוע העבירות </w:t>
      </w:r>
      <w:r>
        <w:rPr>
          <w:rFonts w:ascii="David" w:hAnsi="David"/>
          <w:rtl w:val="true"/>
        </w:rPr>
        <w:t>יש לקחת בחשבון שלאירוע קדם תכנון שבא לידי ביטוי גם בקש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רת הקשר וגם ברכישת הרימון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המעשים 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 כשלכל אחד מהנאשמים חלק שווה במידת האחריות לאירוע וחלק פעיל בביצוע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 לסיבה שהובילה את הנאשמים לבצע המעשים – רצונם להיעצר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נוסף על המפורט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לנזק אשר נגרם כתוצאה מביצוע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בזבוז משאבים של גורמי הביטחון ואף לסיכונם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 זה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ארוכות וטען כי לאור מדיניות ההעמדה לדין של מסתננים בוצעה העבירה תוך נשיאת 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זאת רק כדי להיעצר ולא כדי לפגוע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לייחס חומרה יתרה למעשים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לי אלא לדחות את 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הפנייה לדבריו של חברי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ליבדרו                                   ב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1715-07-22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שאני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14/03/22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בקצרה אומר כי גם אם פניהם של הנאשמים לא היו לפגע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שבעצם החדירה מאזור בו שולט ארגון טרור שהגבול עמו נפיץ מבחינה 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ישנו סיכון לביטחון החיילים והשוהים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רק מתוך חשש לאירוע ירי דו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צדדי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הפעלת הרימון מחמת טעות או שימוש לא זהיר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העובדה שתושב רצועת עזה מסתנן לתוך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מצויד כל פעם בנשק הנדרש לשם העמדתו לדין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רק כדי להיעצר ובכך להביא לקבלת כספים עבור משפחתו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אינה יכולה להפחית מחומרת המעשה ומפוטנציאל הנזק הגלום ממעשיו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לאחר שכל זה נאמר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אתן גם משקל לעובדה לפיה כוונת הנאשמים לא הייתה לפגע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מעבר לאמור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 לב אף לעונש המינימום שנקבע לעבירת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יש לקחת בחשבון אף את </w:t>
      </w:r>
      <w:r>
        <w:rPr>
          <w:rFonts w:ascii="Calibri" w:hAnsi="Calibri" w:cs="Calibri"/>
          <w:rtl w:val="true"/>
        </w:rPr>
        <w:t>פסיקתו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ומתיישבת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1605/13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27/08/14</w:t>
      </w:r>
      <w:r>
        <w:rPr>
          <w:rFonts w:cs="Calibri" w:ascii="Calibri" w:hAnsi="Calibri"/>
          <w:b/>
          <w:bCs/>
          <w:rtl w:val="true"/>
        </w:rPr>
        <w:t>) (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26</w:t>
      </w:r>
      <w:r>
        <w:rPr>
          <w:rFonts w:cs="Calibri" w:ascii="Calibri" w:hAnsi="Calibri"/>
          <w:b/>
          <w:bCs/>
          <w:rtl w:val="true"/>
        </w:rPr>
        <w:t>)]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green"/>
        </w:rPr>
      </w:pPr>
      <w:r>
        <w:rPr>
          <w:rFonts w:cs="David" w:ascii="David" w:hAnsi="David"/>
          <w:highlight w:val="gree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עונשם של הנאשמים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בביצוע העבירות יש ליתן משקל לפגיעה של העונש בנאשמים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אשר נשלח לריצוי מאסר מאחורי סורג ובריח נגרם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בשל הגבלת החירות והיעדר היכולת להתפרנס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מהפן הנפשי וההשפעות הסביבתיות הנלוות למאסר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בנאשמים אשר הצהירו כי הסתננו במטרה להיעצר – אין ליתן משקל משמעותי לפגיעה בנאשמים או במשפחותיהם בגין הטלת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אף גילם הצעיר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3623/21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04/11/21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בקטגוריית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הבגירים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משקל להודאתם של הנאשמים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בהן משום לקיחת אחריות על מעשיהם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לתת את הדעת לכך שהנאשם נעדר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באשר ל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עיון ב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מעלה כי </w:t>
      </w:r>
      <w:r>
        <w:rPr>
          <w:rFonts w:ascii="Arial" w:hAnsi="Arial" w:cs="Arial"/>
          <w:rtl w:val="true"/>
        </w:rPr>
        <w:t>על אף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הורשע בעבר בשתי הזדמנויות שונות בביצוע עבירת הסתננות והסתננות מזויינת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בגינם ריצה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מאסרים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האחד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והשני למשך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הרתיעוהו מלשוב ולבצע עבירות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כמו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תלוי ועומד כנגדו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עיון ב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מעלה כי לאחר ביצוע העבירה הקודמת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שהיה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הצהיר בפני קצינת המבחן כי ישוב ויסתנן למדינת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לנקום את מות אחיו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לאור המפורט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יש ליתן משקל לשיקול הרתעת היחיד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לצד שיקול הרתעת הרבים בעבירות מהסוגים עליהם נותן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מפסיקת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6474/08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10/06/09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ההסתננות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משפחותיהם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10</w:t>
      </w:r>
      <w:r>
        <w:rPr>
          <w:rtl w:val="true"/>
        </w:rPr>
        <w:t xml:space="preserve">.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אינדיווידואלית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Cs/>
            <w:color w:val="0000FF"/>
            <w:u w:val="single"/>
          </w:rPr>
          <w:t>9094/16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12/04/18</w:t>
      </w:r>
      <w:r>
        <w:rPr>
          <w:rtl w:val="true"/>
        </w:rPr>
        <w:t xml:space="preserve">),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587/22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22/05/22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</w:rPr>
        <w:t>11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 גוזרת על הנאשמים את העונשים הבאים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1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/>
        <w:ind w:hanging="495" w:start="9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41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/>
        <w:ind w:hanging="495" w:start="9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מפעילה מאסר מותנה בן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שהוטל על הנאשם ביום </w:t>
      </w:r>
      <w:r>
        <w:rPr>
          <w:rFonts w:cs="David" w:ascii="David" w:hAnsi="David"/>
          <w:b/>
          <w:bCs/>
        </w:rPr>
        <w:t>22/10/19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במסגרת 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21298-07-19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חצוי בחופף וחציו במצטבר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9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סה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כ ירצה הנאשם </w:t>
      </w:r>
      <w:r>
        <w:rPr>
          <w:rFonts w:cs="David" w:ascii="David" w:hAnsi="David"/>
          <w:b/>
          <w:bCs/>
          <w:u w:val="single"/>
        </w:rPr>
        <w:t>44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 מאסר בפועל שימנו מיום מעצרו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/>
        <w:ind w:hanging="495" w:start="9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שנים מיום שחרורו שלא יעבור עבירה לפי חוק ההסתננות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ascii="David" w:hAnsi="David"/>
          <w:b/>
          <w:b/>
          <w:bCs/>
          <w:rtl w:val="true"/>
        </w:rPr>
        <w:t xml:space="preserve">עבירה מסוג פשע </w:t>
      </w:r>
      <w:r>
        <w:rPr>
          <w:rFonts w:ascii="David" w:hAnsi="David"/>
          <w:b/>
          <w:b/>
          <w:bCs/>
          <w:rtl w:val="true"/>
        </w:rPr>
        <w:t>לפי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סימן א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 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rtl w:val="true"/>
        </w:rPr>
        <w:t xml:space="preserve">       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sz w:val="26"/>
          <w:szCs w:val="26"/>
          <w:u w:val="single"/>
        </w:rPr>
        <w:t>2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-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425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b/>
          <w:b/>
          <w:bCs/>
          <w:rtl w:val="true"/>
        </w:rPr>
        <w:t>שימנו מיום</w:t>
      </w:r>
      <w:r>
        <w:rPr>
          <w:rFonts w:ascii="David" w:hAnsi="David"/>
          <w:b/>
          <w:b/>
          <w:bCs/>
          <w:rtl w:val="true"/>
        </w:rPr>
        <w:t xml:space="preserve"> מעצרו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425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שנים מיום שחרורו שלא יעבור עבירה לפי חוק ההסתננות או </w:t>
      </w:r>
      <w:r>
        <w:rPr>
          <w:rFonts w:ascii="David" w:hAnsi="David"/>
          <w:b/>
          <w:b/>
          <w:bCs/>
          <w:rtl w:val="true"/>
        </w:rPr>
        <w:t xml:space="preserve">עבירה מסוג פשע </w:t>
      </w:r>
      <w:r>
        <w:rPr>
          <w:rFonts w:ascii="David" w:hAnsi="David"/>
          <w:b/>
          <w:b/>
          <w:bCs/>
          <w:rtl w:val="true"/>
        </w:rPr>
        <w:t>לפי סימן א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פרק 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 לחיאני שהם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6875-02-22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אנס אבו חתלה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920" w:hanging="495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2510/4" TargetMode="External"/><Relationship Id="rId8" Type="http://schemas.openxmlformats.org/officeDocument/2006/relationships/hyperlink" Target="http://www.nevo.co.il/law/72510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945006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8697227" TargetMode="External"/><Relationship Id="rId21" Type="http://schemas.openxmlformats.org/officeDocument/2006/relationships/hyperlink" Target="http://www.nevo.co.il/case/24263089" TargetMode="External"/><Relationship Id="rId22" Type="http://schemas.openxmlformats.org/officeDocument/2006/relationships/hyperlink" Target="http://www.nevo.co.il/case/26789718" TargetMode="External"/><Relationship Id="rId23" Type="http://schemas.openxmlformats.org/officeDocument/2006/relationships/hyperlink" Target="http://www.nevo.co.il/case/18654015" TargetMode="External"/><Relationship Id="rId24" Type="http://schemas.openxmlformats.org/officeDocument/2006/relationships/hyperlink" Target="http://www.nevo.co.il/case/2775200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817766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8195980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8043259" TargetMode="External"/><Relationship Id="rId31" Type="http://schemas.openxmlformats.org/officeDocument/2006/relationships/hyperlink" Target="http://www.nevo.co.il/case/6708658" TargetMode="External"/><Relationship Id="rId32" Type="http://schemas.openxmlformats.org/officeDocument/2006/relationships/hyperlink" Target="http://www.nevo.co.il/case/27648790" TargetMode="External"/><Relationship Id="rId33" Type="http://schemas.openxmlformats.org/officeDocument/2006/relationships/hyperlink" Target="http://www.nevo.co.il/case/6068019" TargetMode="External"/><Relationship Id="rId34" Type="http://schemas.openxmlformats.org/officeDocument/2006/relationships/hyperlink" Target="http://www.nevo.co.il/case/21664407" TargetMode="External"/><Relationship Id="rId35" Type="http://schemas.openxmlformats.org/officeDocument/2006/relationships/hyperlink" Target="http://www.nevo.co.il/case/28268880" TargetMode="External"/><Relationship Id="rId36" Type="http://schemas.openxmlformats.org/officeDocument/2006/relationships/hyperlink" Target="http://www.nevo.co.il/case/2585028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2023-09-28T10:49:00Z</dcterms:created>
  <dc:creator> </dc:creator>
  <dc:description/>
  <cp:keywords/>
  <dc:language>en-IL</dc:language>
  <cp:lastModifiedBy>h1</cp:lastModifiedBy>
  <dcterms:modified xsi:type="dcterms:W3CDTF">2023-09-28T10:49:00Z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אנס אבו חתלה;זיאד אבו סנימה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5945006;5762686;28883087;28697227;24263089;26789718;18654015;27752004;28177660;28195980;28043259;6708658;27648790;6068019;21664407;28268880;25850280</vt:lpwstr>
  </property>
  <property fmtid="{D5CDD505-2E9C-101B-9397-08002B2CF9AE}" pid="9" name="CITY">
    <vt:lpwstr>ב"ש</vt:lpwstr>
  </property>
  <property fmtid="{D5CDD505-2E9C-101B-9397-08002B2CF9AE}" pid="10" name="DATE">
    <vt:lpwstr>20220919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טל לחיאני שהם</vt:lpwstr>
  </property>
  <property fmtid="{D5CDD505-2E9C-101B-9397-08002B2CF9AE}" pid="14" name="LAWLISTTMP1">
    <vt:lpwstr>72510/004</vt:lpwstr>
  </property>
  <property fmtid="{D5CDD505-2E9C-101B-9397-08002B2CF9AE}" pid="15" name="LAWLISTTMP2">
    <vt:lpwstr>70301/144.b:3;040c.a</vt:lpwstr>
  </property>
  <property fmtid="{D5CDD505-2E9C-101B-9397-08002B2CF9AE}" pid="16" name="LAWYER">
    <vt:lpwstr>חיים שוויצר;ג'בארין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6875</vt:lpwstr>
  </property>
  <property fmtid="{D5CDD505-2E9C-101B-9397-08002B2CF9AE}" pid="23" name="NEWPARTB">
    <vt:lpwstr>02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390020220919</vt:lpwstr>
  </property>
  <property fmtid="{D5CDD505-2E9C-101B-9397-08002B2CF9AE}" pid="35" name="TYPE_N_DATE">
    <vt:lpwstr>39020220919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