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14"/>
        <w:gridCol w:w="1340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68789-07-19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עפרה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27.10.2022</w:t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השופטת 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71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714" w:type="dxa"/>
            <w:tcBorders/>
            <w:vAlign w:val="center"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חאזם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עפרה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אסלאן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).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24.3.2022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28.5.1982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בהתאם להודאתו במסגרת הסדר טיעון בעבירת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הודאת הנאשם והרשעתו היו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 את תיקון כתב האישום ואת הרשעת הנאשם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בעובדותיו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לבקשת הנאשם שירות המבחן התבקש להגיש תסקיר לעונש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מספר אורכות שניתנו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התסקיר הוגש רק ביום </w:t>
      </w:r>
      <w:r>
        <w:rPr>
          <w:rFonts w:cs="Arial" w:ascii="Arial" w:hAnsi="Arial"/>
        </w:rPr>
        <w:t>19.9.2022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חצי שנה לאחר הכרעת הדין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ולפיכך הטיעונים לעונש נשמעו ביום </w:t>
      </w:r>
      <w:r>
        <w:rPr>
          <w:rFonts w:cs="Arial" w:ascii="Arial" w:hAnsi="Arial"/>
        </w:rPr>
        <w:t>2.10.2022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הוא דודו של הקטין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הקטין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הקטין הוא גיסו לשעבר של חא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במהלך השנים </w:t>
      </w:r>
      <w:r>
        <w:rPr>
          <w:rFonts w:cs="Arial" w:ascii="Arial" w:hAnsi="Arial"/>
        </w:rPr>
        <w:t>2017-2013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 היה נשוי לאחות של הקטין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15.2.2018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אחיו והקטין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גם – </w:t>
      </w:r>
      <w:r>
        <w:rPr>
          <w:rFonts w:ascii="Arial" w:hAnsi="Arial" w:cs="Arial"/>
          <w:b/>
          <w:b/>
          <w:bCs/>
          <w:rtl w:val="true"/>
        </w:rPr>
        <w:t>השלושה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אל דרך שועפאט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בעודם מצוידים באלות ברזל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מפתח ברגים ופטיש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כלי התקיפה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במקום המתין המתלונן לאוטובוס שבו אמור היה לנהוג במסגרת עבודתו כנהג הסעות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החלו לתקוף את המתלונן באמצעות כלי התקיפה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המתלונן הצליח לברוח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אל החנות הסמוכה וניסה לנעול את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השלושה דלקו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הצליחו לפתוח את דלת החנות והיכו את המתלונן באמצעות כלי התקיפה בכל חלקי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נמלט אל מאחורי הקופה מתוך ניסיון להתגונן מפני תוקפיו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השלושה הפילו אותו אל הרצפה והמשיכו להכותו נמרצות באמצעות כלי התקיפה בכל חלקי גופו ובראשו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הוא שכב על הרצפה וניסה להתגונן מפניהם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ממעשיהם המתוארים של השלושה נגרמו למתלונן שברים ברגלו השמאלית ובאצבעות ידו השמאלית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חתכים בראשו שהצריכו סגירה בסיכות ושטפי דם בכל חלקי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 ולשם קבלת טיפול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אושפז המתלונן בבית חולים למשך שלושה 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עניינם של המעורבים האחרים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אחיו של הנאשם לא נתפס ולא הועמד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8.9.2001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בן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הועמד לדין וגזר הדין בעניינו ניתן ביום </w:t>
      </w:r>
      <w:r>
        <w:rPr>
          <w:rFonts w:cs="Arial" w:ascii="Arial" w:hAnsi="Arial"/>
        </w:rPr>
        <w:t>10.3.2019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עוד בטרם נתפס הנאשם </w:t>
      </w:r>
      <w:r>
        <w:rPr>
          <w:rFonts w:cs="Arial" w:ascii="Arial" w:hAnsi="Arial"/>
          <w:rtl w:val="true"/>
        </w:rPr>
        <w:t>(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13786-05-18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כבוד השופט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העמית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צבן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הקטין הורשע בעבירת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ובעת גזירת עונשו בית המשפט התחשב בעיקר בשיקולים הבאים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העובדה שמדובר בקטין הנעדר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תלמיד בית ספר ובן למשפחה נורמטיבית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החרטה הכנה שהביע והעובדה שהיה בעיצומו של תהליך שיקום מוצלח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הסדר סולחה שהושג לאחר שאביו של הקטין נפצע עקב מעשה נקמה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מעצרו במשך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 בית במשך כשלושה חודשים וחצי ותקופה נוספת במעצר בית חלקי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התסקיר החיובי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הושתו עליו חמישה 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התחייבות להימנע מעבירה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 מבחן למשך שנה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תסקיר שירות המבחן מיום </w:t>
      </w:r>
      <w:r>
        <w:rPr>
          <w:rFonts w:cs="Arial" w:ascii="Arial" w:hAnsi="Arial"/>
        </w:rPr>
        <w:t>19.9.2022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14-3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עקרת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בהיריון בשלב מתקדם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במשפחת המוצא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הבן הרביעי מבין תשעה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שכולם למעט הצעיר נשואים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עובדים לפרנסתם ומנהלים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בעיות רפואיות שמהן סובל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עובד כבר קרוב לעשרים 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משפחת הנאשם מנהלת אורח חיים תקין ללא מעורבות בפלילים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נולד בכפר סוואחרה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התנגדות הוריו להפסקת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העדיף לצאת 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לעבוד בעבודות בניה ובהמשך הפך למנהל עבודה בתחום הבניין והוא עסק בכך כעשרים 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שאינו תושב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העבירה הנדונה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מקבל אישור כניסה לעבודה בישראל ולכן זה כשלוש שנים עובד בעבודות מזדמנות במקום מגוריו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כשבע שנים הוא סובל מבעיות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התקף לב וניתוחים והוא נתון לטיפול רפואי קבוע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 הוא חש עייפות וחולשה ובהיעדר ביטוח בריאות עליו לממן את התרופות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מכיר באחריותו למעשה העבירה ואף הביע חרטה עמוקה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לעבירה הוא סכסוך משפחתי של אחותו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והבנים שלה פגשו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החלה מריבה והוא ניסה להפריד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קילל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מתוך תחושת פגיעה איבד שליטה והצטרף לתקיפתו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נערכה סולחה ומשפחתו אף שילמה כסף רב למתלונן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המעשים נעשו על רקע התנהלות אימפולסיבית ותוקפנית של הנאשם מתוך תחושת פגיעה וקושי לבחון את השלכות מעשיו ואת תוצאתם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לנאשם כוחות חיוביים לתפקוד תקין וכי מעשיו באירוע הנדון אינם מאפיינים את התנהגותו בדרך 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ניכר כי הוא גדל במשפחה מתפקדת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בעיות מיוחדות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הערכת שירות המבחן גורמי הסיכון להישנות עבירות הם העובדה שבמצבים שבהם הנאשם חש פגוע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עלול לפגוע באימפולסיביות ובתוקפנות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מרצונו לחוש שייכות למשפחתו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תוך קושי לשלוט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לבחון את השלכות מעשיו ואת פגיעתם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סיכויי השיקום של הנאשם נאמר כי הנאשם בעל רמת אינטליגנציה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 ביטוי מילולית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בעל כוחות חיוביים לתפקוד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המתבטאים בתעסוקה יציבה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מעורבות בפלילים ורצון לנהל אורח חיים תקין של חיי משפחה ועבודה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נראה כי ההליך המשפטי המנוהל נגדו לראשונה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במשך יותר מחודש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שכניסתו לישראל לצורך עבודה לא אושרה בשל ההליך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גרמו לו להפנים את חומרת מעשיו ושימשו עבורו גורם מרתיע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התרשמות שירות המבחן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שזו מעורבותו הראשונה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הכרתו באחריותו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העמוקה שהביע והעובדה שנראה כי המעשה אינו מאפיין את התנהלותו 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המפרנס היחידי וכן כדי שלא ייחשף לאווירה העבריינית בבית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להימנע מהשתת עונש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חלף זאת הומלץ להשית עליו עונש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יימצא מתאים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הומלץ להשית מאסר מותנה והתחייבות להימנע מעבירה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הראיות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המאשימה לא הוגשו ראיות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ההגנה הוגשו הראיות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מסמך רפואי בעניין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מסמך רפואי בעניין אביו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גזר הדין בעניין הקטין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הסכם הסולחה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טען כי הערכים המוגנים שנפגעו מהעבירה הם ההגנה של שלמות גופו של אדם ועל שלום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נסיבות העבירה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שלושה אנשים ובהם הנאשם היו מעורבים בתקיפה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נעשתה תוך שימוש בכלי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אלות ברזל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מפתח ברגים ופטיש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מעשיי הנאשם ושותפיו התאפיינו בתעוזה רבה ודבקות במטרה לפגוע במתלונן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לאחר שברח וניסה לנעול את דלת החנות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המשיכו לרדוף אחיו ולהכותו בתוך החנות וגם לאחר שכבר שכב על הרצפה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הנזקים שנגרמו לו הם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עמדת המאשימה היא כי על מתחם העונש ההולם להיקבע בין 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כוחה אל שני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הדגשת שונות הנסיבות בינם לבין 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נסיבותיהם יפורטו בהמשך הדברים במסגרת הדיון בעניין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מיקום עונשו של הנאשם בתוך המתחם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 למעשים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מהתסקיר כי הוא סובל מבעיות בריאות וכן כי נערכה סולחה בין הצדדים ולכן יש למקם את עונשו של בתחתית מתחם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המלצת שירות המבחן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הנימוק שהובא להמלצה להימנע מהשתת מאסר בפועל מתאים לכל מקרה שבו מדובר בנאשם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קשר לעבירה שעבר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ההיחשפות לסביבה עבריינית במאסר היא חלק מתוצאתו של הליך פלילי ושל עונש מאסר בפועל וכי אין מקום להימנע ממאסר בנסיבות של הרשעה בעבירה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גזר דינו של הקטין השותף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מקום להשוואה ביניהם וכי העונש המקל שהושת עליו היה בשל גילו הצעיר והעובדה שהתגלה אצלו גידול סרטני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יוער כי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דובר בגידול שהתגלה אצלו בגיל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ומאז היה במעקב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עובדה זו רק הוזכרה במסגרת פירוט טענות סנגורו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לא הוזכרה כשיקול לעונש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בעניין אחיו של הנאשם נאמר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נתפס ואף לא נשפט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הרקע לאירוע הוא סכסוך גירושין בין אחייניתו של הנאשם לבין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מצא את עצמו מעורב בתקיפתו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כפי שאף הודגש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 אינה דרכו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המעשים אינם מאפיינים את התנהלותו ואת אורח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עד האירוע עבד למחייתו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החל את דרכו כעובד בניין זוטר והתקדם למנהל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 דאגתו הייתה נתונה לפרנסת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מנוע כניסה לישראל וכיום הוא עובד קשה באזור מגוריו תמורת שכר נמוך בהרבה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לפרנס את משפחתו ולממן את התרופות שהוא נזקק להם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מאז האירוע חלפו כארבע שנים שבמהלכם הנאשם לא היה מעורב בעבירות ואף בכך יש כדי להצביע על היותו אדם נורמטיבי ועל כך שדובר באירוע חד פעמי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הודה במעשים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כנה ועמוקה שאינה מהפה אל החוץ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מעידה על הלקח שהפיק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מצבו הבריאותי אינו טוב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חולה לב ומטופל דרך קבע ואף מסייע לאביו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הסובל מבעיות רפואיות 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אינו תושב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תושב האזור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שוחרר בתנאים ובחר להתייצב לדיונים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אחר במצבו יכול היה לברוח מאימת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לא עשה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בחר להגיע למשפטו ולקבל את העונש שיושת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שאף בכך יש כדי להעיד על הכרתו באחריות למעשיו ואף בכך יש להתחשב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משקל לסולחה הרצינית שנערכה בין המשפחות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התסקיר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שירות המבחן הגיש תסקיר מקיף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המדגיש את הכרת הנאשם באחריותו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החרטה העמוקה שביטא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תפקודו התקין בדרך כלל ואת העובדה שהאירוע אינו מאפיין את התנהלותו בדרך 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כלל השיקולים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המליץ להסתפק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נראה כי נעלמה מהם העובדה שהנאשם לא יוכל לשאת עונש זה בשל היותו תושב האזור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לשקול את התסקיר החיובי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כלל נסיבותיו של הנאשם ואת העובדה שבעטיו של האירוע הוא מתקשה עתה בפרנסת משפחתו וכי אף בכך נענש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להתחשב במשפחת הנאשם ובחמשת ילדיו הקטינים שפרנסתם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לשקול את העובדה שהאפשרות שהנאשם ישוב לסורו אפסית וכי עצם הרשעתו והכתמתו בפלילים הם בגדר עונש עבורו וכן את האמור בתסקיר בדבר הפגיעה הצפויה לנאשם מעצם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ביקש לאפשר לנאשם הזדמנות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למצות עמו את הדין ולהסתפק בענישה שאינה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שיוכל לשוב אל מעגל חייו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עונשו של הקטין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הקטין עמד בלב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שהביא לקטטה שנגרמה וכי למרות היותו על סף בגירות וחרף הענישה המחמירה שהמאשימה 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הושתו עליו רק חמישה 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עיקרון אחידות הענישה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להשית על הנאשם עונש שיעמוד ביחס סביר לזה שהושת על הקטין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מדיניות הענישה הנוהגת הפנה אל שני פסקי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יידונו בהמשך הדברים במסגרת הדיון בעניין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אמר את הדברים הבאים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עשיתי טעות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טעיתי ומתחרט על מה שעשיתי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בחיים שלי לא התנהגתי ככה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לא אתנהג ככה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מבקש מבית המשפט שיסלח 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מבקש להקל בעונשי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רוצה לחזור לשגרת חיים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רוצה לפרנס את הילדים שלי וגם לדאוג לעתיד של הילדים שלי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לי את אבא שלי שהוא חי אצלי והוא באחריותי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הורשע בעבירת </w:t>
      </w:r>
      <w:r>
        <w:rPr>
          <w:rFonts w:ascii="Arial" w:hAnsi="Arial" w:cs="Arial"/>
          <w:b/>
          <w:b/>
          <w:bCs/>
          <w:rtl w:val="true"/>
        </w:rPr>
        <w:t xml:space="preserve">חבלה בכוונה מחמירה </w:t>
      </w:r>
      <w:r>
        <w:rPr>
          <w:rFonts w:cs="Arial" w:ascii="Arial" w:hAnsi="Arial"/>
          <w:rtl w:val="true"/>
        </w:rPr>
        <w:t>(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בכך שהוא ושניים נוספים חבטו בכל חלקי גופו של המתלונן באמצעות מוט ברזל וכלי תקיפה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עבירה זו נמנית עם עבירות האלימות החמורות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הפוגעות בערכים החברתיים שעניינם הזכות לשלמות הגוף והנפש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לביטחון אישי ולכבוד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אחת הודגשו החומרה הרבה הנעוצה בעבירות אלימות והצורך בהרתעה מפניהן וזאת במיוחד עת מדובר בניסיון ליישוב סכסוך או מחלוקת בדרכי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הודגש כי מעשיי אלימות אלו מחייבים ענישה אשר תעביר מסר ברור בדבר סלידה מהתנהלות זו וכי אלימות אינה דרך לפתרון בעיות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בין השאר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נוהגם של מיקצת אנשים ליישב חילוקי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דעות ביניהם במוטות ברזל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בקרשים ובסכינים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נוהג מגונה הוא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ראוי הוא לתגובה קשה של בתי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259/97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סובחי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28.4.1998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חשין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סובחי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בדומה נקבע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בית משפט זה עמד לא אחת על כך שחברה מתוקנת אינה יכולה להשלים עם אלימות החותרת תחת זכותו של אדם לשלמות גופו </w:t>
      </w:r>
      <w:r>
        <w:rPr>
          <w:rFonts w:cs="Arial" w:ascii="Arial" w:hAnsi="Arial"/>
          <w:b/>
          <w:bCs/>
          <w:rtl w:val="true"/>
        </w:rPr>
        <w:t xml:space="preserve">(...) </w:t>
      </w:r>
      <w:r>
        <w:rPr>
          <w:rFonts w:ascii="Arial" w:hAnsi="Arial" w:cs="Arial"/>
          <w:b/>
          <w:b/>
          <w:bCs/>
          <w:rtl w:val="true"/>
        </w:rPr>
        <w:t>וכן על הצורך להרתיע את הפונים לפתרון סכסוכים בכוח הזרוע באמצעות השתת עונשים הולמים ומשמעותיים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זאת במטרה להעביר את המסר כי החברה אינה סובלנית להתנהגויות מסוג זה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759/16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13.6.2016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כבוד השופטת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בראין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מבין רבים</w:t>
      </w:r>
      <w:r>
        <w:rPr>
          <w:rFonts w:cs="Arial" w:ascii="Arial" w:hAnsi="Arial"/>
          <w:rtl w:val="true"/>
        </w:rPr>
        <w:t xml:space="preserve">,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3799/14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שנב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17.8.2015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מזוז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). ‏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הנדונות דובר בתקיפת המתלונן באמצאות כלי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סכסוך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שהסבה למתלונן נזקים חמורים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נראה כי 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 בלתי הפיך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היא לכל הפחות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בחינת מדיניות הענישה הנוהגת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לצד פסק דין שעניינו ענישה בשל הרשעה בעבירת </w:t>
      </w:r>
      <w:r>
        <w:rPr>
          <w:rFonts w:ascii="Arial" w:hAnsi="Arial" w:cs="Arial"/>
          <w:b/>
          <w:b/>
          <w:bCs/>
          <w:rtl w:val="true"/>
        </w:rPr>
        <w:t>חבלה בכוונה מחמירה</w:t>
      </w:r>
      <w:r>
        <w:rPr>
          <w:rFonts w:ascii="Arial" w:hAnsi="Arial" w:cs="Arial"/>
          <w:rtl w:val="true"/>
        </w:rPr>
        <w:t xml:space="preserve"> לפי </w:t>
      </w:r>
      <w:hyperlink r:id="rId14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סעיף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329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)(</w:t>
        </w:r>
        <w:r>
          <w:rPr>
            <w:rStyle w:val="Hyperlink"/>
            <w:rFonts w:cs="Arial" w:ascii="Arial" w:hAnsi="Arial"/>
            <w:b/>
            <w:bCs/>
          </w:rPr>
          <w:t>1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הפנתה גם אל פסק דין שעניינו ענישה בשל הרשעה בעבירת </w:t>
      </w:r>
      <w:r>
        <w:rPr>
          <w:rFonts w:ascii="Arial" w:hAnsi="Arial" w:cs="Arial"/>
          <w:b/>
          <w:b/>
          <w:bCs/>
          <w:rtl w:val="true"/>
        </w:rPr>
        <w:t>חבלה חמורה בנסיבות מחמירות</w:t>
      </w:r>
      <w:r>
        <w:rPr>
          <w:rFonts w:ascii="Arial" w:hAnsi="Arial" w:cs="Arial"/>
          <w:rtl w:val="true"/>
        </w:rPr>
        <w:t xml:space="preserve"> לפי </w:t>
      </w:r>
      <w:hyperlink r:id="rId15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16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ההגנה הפנתה אל שני פסקי דין שבהם ההרשעה היא לפי </w:t>
      </w:r>
      <w:hyperlink r:id="rId17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18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נסיבותיה של העבירה הנדונה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דומה כי אכן יש מקום לשקול גם את מדיניות הענישה שעניינה הרשעה בעבירה לפי </w:t>
      </w:r>
      <w:hyperlink r:id="rId19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20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לפיכך להלן יובאו פסקי דין שעניינם ענישה שהושתה בשל הרשעה בכל אחת משתי העבירות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מהם עולה כי בנסיבות דומות לאלו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בדרך כלל פחות מחמירה מזו שעליה הצביעה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שני פסקי הדין שאליהם הפנתה המאשימה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308/16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נאטור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7.11.2016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הרשעה </w:t>
      </w:r>
      <w:r>
        <w:rPr>
          <w:rFonts w:ascii="Arial" w:hAnsi="Arial" w:cs="Arial"/>
          <w:b/>
          <w:b/>
          <w:bCs/>
          <w:rtl w:val="true"/>
        </w:rPr>
        <w:t>לאחר שמיעת ראיות</w:t>
      </w:r>
      <w:r>
        <w:rPr>
          <w:rFonts w:ascii="Arial" w:hAnsi="Arial" w:cs="Arial"/>
          <w:rtl w:val="true"/>
        </w:rPr>
        <w:t xml:space="preserve"> בעבירה לפי </w:t>
      </w:r>
      <w:hyperlink r:id="rId2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סכסוך בין הנאשם לבין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העובדים באותו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דקר הנאשם את המתלונן פעמיים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בבטנו ובידו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שהמתלונן הסיע אותו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למתלונן נגרמו פגיעות בידו ובאיברים פנימיים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נותח ואושפז למשך 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בתסקיר החיובי אך גם בהכרתו המוגבלת באחריותו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ומאסרים מותנים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66148-05-18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חסון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1.11.2020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הרשעה </w:t>
      </w:r>
      <w:r>
        <w:rPr>
          <w:rFonts w:ascii="Arial" w:hAnsi="Arial" w:cs="Arial"/>
          <w:b/>
          <w:b/>
          <w:bCs/>
          <w:rtl w:val="true"/>
        </w:rPr>
        <w:t>לאחר שמיעת ראיות</w:t>
      </w:r>
      <w:r>
        <w:rPr>
          <w:rFonts w:ascii="Arial" w:hAnsi="Arial" w:cs="Arial"/>
          <w:rtl w:val="true"/>
        </w:rPr>
        <w:t xml:space="preserve"> בעבירת חבלה חמורה בנסיבות מחמירות </w:t>
      </w:r>
      <w:r>
        <w:rPr>
          <w:rFonts w:ascii="Arial" w:hAnsi="Arial" w:cs="Arial"/>
          <w:b/>
          <w:b/>
          <w:bCs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25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סכסוך שכנים בדבר רעש מביתו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צעקותיו של הנאשם בשל כך והעובדה שהמתלונן העיר לנאשם על שצעק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דקר הנאשם את המתלונן בידו וגרם לו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לפגיעה עצבית ולמגבלת תנועה באצבע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לנאשם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הרשעות קודמות בעבירות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שבעטין נשא בעונשי מאסר ממושכים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לנפגע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שני פסקי הדין שאליהם הפנתה ההגנה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6074/11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27.2.2012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במסגרת הסדר טיעון בעבירת חבלה חמורה בנסיבות מחמירות לפי </w:t>
      </w:r>
      <w:hyperlink r:id="rId27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28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מסיבת פורים חבט הנאשם עם מקל בראשו של המתלונן וגרם לו שבר בגולגולת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נותר מחוסר הכרה במשך מספר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בהליכה ועבר הליך שיקום ממושך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התסקיר החיובי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הליך השיקום החיובי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נעדר הרשעות קודמות והחרטה שהביע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למתלונן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על עצם ההרשעה ועל העונש נדחו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 </w:t>
      </w:r>
      <w:r>
        <w:rPr>
          <w:rFonts w:cs="Arial" w:ascii="Arial" w:hAnsi="Arial"/>
        </w:rPr>
        <w:t>69577-11-17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יערי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במסגרת הסדר טיעון בעבירת חבלה חמורה בנסיבות מחמירות לפי </w:t>
      </w:r>
      <w:hyperlink r:id="rId29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30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הגיע אל משרדו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עורך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ותקף אותו בכל חלקי גופו באמצעות מוט ברזל והמשיך בכך גם לאחר שהמתלונן נפל לקרקע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ידו של המתלונן נשברה ונגרמו לו חתך בקרקפת ושטף דם בגב והוא נזקק לטיפול בבית 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בכך שהנאשם סבל מפוסט טראומה על רקע שירותו הצבאי והיותו נתון במעקב 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 מבחן ופיצוי למתלונן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פסיקה נוספת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ומעה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18.4.2016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הרשעה </w:t>
      </w:r>
      <w:r>
        <w:rPr>
          <w:rFonts w:ascii="Arial" w:hAnsi="Arial" w:cs="Arial"/>
          <w:b/>
          <w:b/>
          <w:bCs/>
          <w:rtl w:val="true"/>
        </w:rPr>
        <w:t>לאחר שמיעת ראיות</w:t>
      </w:r>
      <w:r>
        <w:rPr>
          <w:rFonts w:ascii="Arial" w:hAnsi="Arial" w:cs="Arial"/>
          <w:rtl w:val="true"/>
        </w:rPr>
        <w:t xml:space="preserve"> בעבירה לפי </w:t>
      </w:r>
      <w:hyperlink r:id="rId3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עימות אלים שבו היו מספר 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דקר הנאשם את המתלונן במצחו באמצעות סכין שחדרה לאונה הקדמית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נזקק לטיפול כירורגי ולצנתור מוחי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בכך שאף הנאשם 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בגילו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היותו נשוי ואב לילדים ונעדר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התסקיר החיובי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הכרתו באחריותו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שהביע וחלוף הזמן עד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למתלונן בסך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21.5.2017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הודאה במסגרת הסדר טיעון בעבירה לפי </w:t>
      </w:r>
      <w:hyperlink r:id="rId3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סכסוך שכנים דקר הנאשם את המתלונן בבית החזה בעומק שהגיע עד הצלעות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נותח ואושפז למשך כשבוע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בכך שהנאשם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אורח חייו נורמטיבי והיה זה אירוע חד 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 והעונש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759/16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13.6.2016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המערער כבן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</w:t>
      </w:r>
      <w:r>
        <w:rPr>
          <w:rFonts w:ascii="Arial" w:hAnsi="Arial" w:cs="Arial"/>
          <w:b/>
          <w:b/>
          <w:bCs/>
          <w:rtl w:val="true"/>
        </w:rPr>
        <w:t>לאחר שמיעת ראיות בעבירת</w:t>
      </w:r>
      <w:r>
        <w:rPr>
          <w:rFonts w:ascii="Arial" w:hAnsi="Arial" w:cs="Arial"/>
          <w:rtl w:val="true"/>
        </w:rPr>
        <w:t xml:space="preserve">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6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37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הכה את המתלונן באמצעות חפץ חד וגרם לשבר באפו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באורח חייו הנורמטיבי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נעדר הרשעות קודמות ובתסקיר החיובי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למתלונן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60043-05-18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חמאד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9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40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 xml:space="preserve">), 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בכך שהיכה את המתלונן באמצעות חפץ וגרם לו לחתך בקרקפת ולדימום תוך מוחי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לבת ואשתו הייתה בהיריון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למתלונן בסך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18531-03-11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סלח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16.4.2012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הנאשמים הורשעו בעבירת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2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43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 xml:space="preserve">), 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בכך שתקפו את המתלונן בפניו וגרמו לו שבר בשורש כף היד ושטף דם בפניו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לשניהם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הושתו עליהם עונשי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הושתו מאסרים מותנים וכל אחד מהם חויב בתשלום פיצוי למתלונן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17941-11-18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נגאר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6.7.2020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בעבירת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5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46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),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בכך שזרק אבן אל פניו של המתלונן וגרם לו שבר בארובת העין ובעצמות האף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40292-06-18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5.4.2021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 הורשעו בעבירת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8">
        <w:r>
          <w:rPr>
            <w:rStyle w:val="Hyperlink"/>
            <w:rFonts w:ascii="Arial" w:hAnsi="Arial" w:cs="Arial"/>
            <w:b/>
            <w:b/>
            <w:bCs/>
            <w:rtl w:val="true"/>
          </w:rPr>
          <w:t>סעיפים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 </w:t>
        </w:r>
        <w:r>
          <w:rPr>
            <w:rStyle w:val="Hyperlink"/>
            <w:rFonts w:cs="Arial" w:ascii="Arial" w:hAnsi="Arial"/>
            <w:b/>
            <w:bCs/>
          </w:rPr>
          <w:t>333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hyperlink r:id="rId49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),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בכך שהכו את המתלונן בפניו וחתכו אותו בפניו באמצעות חפץ 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נגרם לו חתך בפנים ושבר באף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נשוי </w:t>
      </w:r>
      <w:r>
        <w:rPr>
          <w:rFonts w:ascii="Arial" w:hAnsi="Arial" w:cs="Arial"/>
          <w:b/>
          <w:b/>
          <w:bCs/>
          <w:rtl w:val="true"/>
        </w:rPr>
        <w:t>ולחובתו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נסיבותיהם החריגות הושתו על שניהם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גם צו 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 העבירה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הנסיבות הקשורות במעשה העבירה אשר נשקלו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דובר בשלושה שחברו לתקוף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שימוש בכלי תקיפה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מוט ברזל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מפתח ברגים ופטיש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הרקע לעבירות היה סכסוך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אם דובר בקרובי משפחתם של הנאשם ושל התוקפים הנוספים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לא היו צד לסכסוך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והאחרים דבקו במטרתם להכות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לאחר שנמלט מהם אל תוך חנות וניסה לנעול את הדלת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לא הרפו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אחריו אל החנות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המשיכו להכותו ולא חדלו מכך אף לאחר שכבר היה מוטל על הרצפה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אופן הכאת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לו היו צפויים ובפועל נגרמו נזקים חמורים שהצריכו 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לכך שנראה כי חרף חומרת הנזקים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 בלתי הפיך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חמישית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חזקה על הנאשם שהוא יכול היה להבין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משמעותם ואת הפסול שבהם ואף יכול היה להימנע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ניתן משקל לכך 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עובדות 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בשונה מהאמור בתסקיר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נראה כי לא הייתה כל התגרות מצד המתלונן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בהתחשב בערכים החברתיים שנפגעו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בהם וכן תוך התחשבות במדיניות הענישה הנהוגה ובנסיבות שבהן נעברו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שכל אלו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מתחם העונש ההולם הוא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בעבודות 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נסיבותיו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בשלב גזירת העונש המתאים לנאשם בגדרי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נשקלו נסיבותיו של הנאשם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לחמישה ילדים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14-3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ואשתו עומדת ללדת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המפרנס היחיד של משפחתו והוא אף תומך באביו החולה ומסייע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של ממש לכך שעונש מאסר עלול לפגוע באופן ממשי במשפחת הנאשם ובילדיו הקטנים שפרנסתם עליו וכן ניתן משקל להשלכות שתהיינה לכך על אביו החולה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הנתמך בנאשם ומסתייע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נעדר הרשעות קודמות ועד האירוע הנדון ניהל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דובר באירוע שאינו אופייני להתנהלותו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משקל לבעיות הבריאות ולבעיות הלב שמהן סובל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עבר מספר טיפולים ונזקק לתרופות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הביע צער כן על פגיעתו במתלונן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חמישית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שהנאשם תושב האזור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הגשת כתב האישום גרמה לפגיעה משמעותית בחופש התנועה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בעיסוקו ובפרנסתו בכך שהוא מנוע כניסה לישראל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נדרש אישור מיוחד לשם התייצבותו לכל הדיונים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וכך אף נגדע מטה לחמו ואפשרותו להוסיף ולעבוד בעבודתו הקודמת בשטח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ניתן משקל לכך שהוא לא ניצל זאת לרעה והתייצב לכל הדיונים ואף הביע נכונות להתייצב כדי לשאת בעונש שיושת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שישית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משקל לתסקיר החיובי ולהמלצת שירות המבחן להימנע מהשתת מאסר בפועל ולהסתפק במאסר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ניתן משקל לכך שלא ניתן לממש המלצה זו מאחר שכאמור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אינו תושב ישראל והוא מנוע כניסה לישראל בשל ההליך הנדון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שביעית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 נעברה לפני למעלה מארבע שנים וחצי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ומאחר שהסחבת בהליך זה הייתה במידה רבה בעטיו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מועט בלבד לחלוף הזמן מאז נעברה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שיקולים נוספים – משקלה של ה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סולחה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ועיקרון אחידות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ההגנה העניקה משקל רב 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סולחה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שנערכה בין משפחות הניצים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עריכת סולחה והשכנת שלום הם ללא ספק צעדים חשובים ומבורכים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משקלם בעניין קביעת העונש מועט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אחת נקבע כי הליך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הוא בגדר כלי לבר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משפטי שמטרתו פיוס בין הנצים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משקלו לעניין קביעת העונש מוגבל ומועט </w:t>
      </w:r>
      <w:r>
        <w:rPr>
          <w:rFonts w:cs="Arial" w:ascii="Arial" w:hAnsi="Arial"/>
          <w:rtl w:val="true"/>
        </w:rPr>
        <w:t>(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22-21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סקירה נרחבת של הפסיקה והספרות בעניין הסכמי סולחה ב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6496/21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20.12.2021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15-13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יש לתת משקל לעונש הקל שהושת על הקטין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אינו דומה גזירת עונשו של קטין לגזירת עונשו של בגיר ואף ישנה ציפייה רבה יותר להתנהלות אחראית מצד אדם מבוגר לעומת הציפייה מקטין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בהינתן חלקם השווה של הנאשם ושל הקטין במעשים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והעובדה שדובר בקטין בוגר שהיה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לנכון לתת משקל לעונשו המקל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הועמד על חמישה 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שנקבע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 xml:space="preserve">"... </w:t>
      </w:r>
      <w:r>
        <w:rPr>
          <w:rFonts w:ascii="Arial" w:hAnsi="Arial" w:cs="Arial"/>
          <w:b/>
          <w:b/>
          <w:bCs/>
          <w:rtl w:val="true"/>
        </w:rPr>
        <w:t>עיקרון אחידות הענישה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הוא עיקרון יסוד בשיטתנו המשפטית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 עיקרון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במצבים דומים מבחינת אופי העבירות ונסיבותיהם האישיות של הנאשמים ראוי להחיל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האפשר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שיקולי ענישה דומים </w:t>
      </w:r>
      <w:r>
        <w:rPr>
          <w:rFonts w:cs="Arial" w:ascii="Arial" w:hAnsi="Arial"/>
          <w:b/>
          <w:bCs/>
          <w:rtl w:val="true"/>
        </w:rPr>
        <w:t xml:space="preserve">(...). </w:t>
      </w:r>
      <w:r>
        <w:rPr>
          <w:rFonts w:ascii="Arial" w:hAnsi="Arial" w:cs="Arial"/>
          <w:b/>
          <w:b/>
          <w:bCs/>
          <w:u w:val="single"/>
          <w:rtl w:val="true"/>
        </w:rPr>
        <w:t>כך במיוחד כאשר מדובר בנאשמים שונים המורשעים בגדרה של אותה פרשה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אז מקבל עיקרון זה משנה תוקף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>) (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12.12.2017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והפסיקה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ראו</w:t>
      </w:r>
      <w:r>
        <w:rPr>
          <w:rFonts w:cs="Arial" w:ascii="Arial" w:hAnsi="Arial"/>
          <w:rtl w:val="true"/>
        </w:rPr>
        <w:t xml:space="preserve">: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3065/15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חסין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26.6.2016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;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5236/05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עמאשה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4.3.2009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איזון כל השיקולים שעליהם עמדנו ושקילת טענותיהן של המאשימה ושל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מובילים לכך שיש להעמיד את עונשו של הנאשם בתחתית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לצד מאסר מותנה שישמש גורם מרתיע מפני חזרה על עבירת אלימות מצד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נמצא כי יש לחייב את הנאשם לשאת בפיצוי מסוים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זה נשקלו גם מצבו הכלכלי הקשה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הסכם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אשר נטען כי כלל תשלום סכום משמעותי למתלונן וכן העובדה שככלל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הפיצוי הוא מעשה סמלי חינוכי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נועד לכסות את מלוא נזקו של הנפגע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שמונה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20.7.2019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25.8.2019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מותנה למשך ארבעה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מותנה למשך חודשיים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למתלונן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הנאשם רשאי לשלם את הפיצוי בעשרה תשלומים שווים ועוקבים החל מיום </w:t>
      </w:r>
      <w:r>
        <w:rPr>
          <w:rFonts w:cs="Arial" w:ascii="Arial" w:hAnsi="Arial"/>
        </w:rPr>
        <w:t>1.12.2022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יתייצב למאסרו  בבית המעצר ניצן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22.11.2022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במקום אחר על פי החלטת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כשברשותו 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דרכון ועותק מגזר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הנאשם לתאם את הכניסה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האפשרות למיון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ענף אבחון ומיון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טלפונים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08-9787377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08-9787336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פקס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08-9193314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: </w:t>
      </w:r>
      <w:hyperlink r:id="rId55">
        <w:r>
          <w:rPr>
            <w:rStyle w:val="Hyperlink"/>
            <w:rFonts w:cs="Arial" w:ascii="Arial" w:hAnsi="Arial"/>
            <w:sz w:val="18"/>
            <w:szCs w:val="18"/>
          </w:rPr>
          <w:t>MaasarN@ips.gov.il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להתעדכן באתר האינטרנט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ברשימת הציוד הראשוני שניתן להביא בעת ההתייצבות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במרחשוון 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באוקטובר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הצדדים כמפורט </w:t>
      </w:r>
      <w:bookmarkEnd w:id="12"/>
      <w:r>
        <w:rPr>
          <w:rFonts w:ascii="Arial" w:hAnsi="Arial" w:cs="Arial"/>
          <w:rtl w:val="true"/>
        </w:rPr>
        <w:t>בפרוטוקול הדיון מהיום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68789-07-19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חאזם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עפרה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9.a.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4157975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case/5688667" TargetMode="External"/><Relationship Id="rId12" Type="http://schemas.openxmlformats.org/officeDocument/2006/relationships/hyperlink" Target="http://www.nevo.co.il/case/20923897" TargetMode="External"/><Relationship Id="rId13" Type="http://schemas.openxmlformats.org/officeDocument/2006/relationships/hyperlink" Target="http://www.nevo.co.il/case/16968075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333" TargetMode="External"/><Relationship Id="rId20" Type="http://schemas.openxmlformats.org/officeDocument/2006/relationships/hyperlink" Target="http://www.nevo.co.il/law/70301/335.a.1" TargetMode="External"/><Relationship Id="rId21" Type="http://schemas.openxmlformats.org/officeDocument/2006/relationships/hyperlink" Target="http://www.nevo.co.il/case/20891758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case/24218819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/335.a.1" TargetMode="External"/><Relationship Id="rId26" Type="http://schemas.openxmlformats.org/officeDocument/2006/relationships/hyperlink" Target="http://www.nevo.co.il/case/6246835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5.a.1" TargetMode="External"/><Relationship Id="rId29" Type="http://schemas.openxmlformats.org/officeDocument/2006/relationships/hyperlink" Target="http://www.nevo.co.il/law/70301/333" TargetMode="External"/><Relationship Id="rId30" Type="http://schemas.openxmlformats.org/officeDocument/2006/relationships/hyperlink" Target="http://www.nevo.co.il/law/70301/335.a.1" TargetMode="External"/><Relationship Id="rId31" Type="http://schemas.openxmlformats.org/officeDocument/2006/relationships/hyperlink" Target="http://www.nevo.co.il/case/20642756" TargetMode="External"/><Relationship Id="rId32" Type="http://schemas.openxmlformats.org/officeDocument/2006/relationships/hyperlink" Target="http://www.nevo.co.il/law/70301/329.a.1" TargetMode="External"/><Relationship Id="rId33" Type="http://schemas.openxmlformats.org/officeDocument/2006/relationships/hyperlink" Target="http://www.nevo.co.il/case/21771414" TargetMode="External"/><Relationship Id="rId34" Type="http://schemas.openxmlformats.org/officeDocument/2006/relationships/hyperlink" Target="http://www.nevo.co.il/law/70301/329.a.1" TargetMode="External"/><Relationship Id="rId35" Type="http://schemas.openxmlformats.org/officeDocument/2006/relationships/hyperlink" Target="http://www.nevo.co.il/case/20923897" TargetMode="External"/><Relationship Id="rId36" Type="http://schemas.openxmlformats.org/officeDocument/2006/relationships/hyperlink" Target="http://www.nevo.co.il/law/70301/333" TargetMode="External"/><Relationship Id="rId37" Type="http://schemas.openxmlformats.org/officeDocument/2006/relationships/hyperlink" Target="http://www.nevo.co.il/law/70301/335.a.1" TargetMode="External"/><Relationship Id="rId38" Type="http://schemas.openxmlformats.org/officeDocument/2006/relationships/hyperlink" Target="http://www.nevo.co.il/case/24212779" TargetMode="External"/><Relationship Id="rId39" Type="http://schemas.openxmlformats.org/officeDocument/2006/relationships/hyperlink" Target="http://www.nevo.co.il/law/70301/333" TargetMode="External"/><Relationship Id="rId40" Type="http://schemas.openxmlformats.org/officeDocument/2006/relationships/hyperlink" Target="http://www.nevo.co.il/law/70301/335.a.1" TargetMode="External"/><Relationship Id="rId41" Type="http://schemas.openxmlformats.org/officeDocument/2006/relationships/hyperlink" Target="http://www.nevo.co.il/case/3589270" TargetMode="External"/><Relationship Id="rId42" Type="http://schemas.openxmlformats.org/officeDocument/2006/relationships/hyperlink" Target="http://www.nevo.co.il/law/70301/333" TargetMode="External"/><Relationship Id="rId43" Type="http://schemas.openxmlformats.org/officeDocument/2006/relationships/hyperlink" Target="http://www.nevo.co.il/law/70301/335.a.1" TargetMode="External"/><Relationship Id="rId44" Type="http://schemas.openxmlformats.org/officeDocument/2006/relationships/hyperlink" Target="http://www.nevo.co.il/case/25126873" TargetMode="External"/><Relationship Id="rId45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law/70301/335.a.1" TargetMode="External"/><Relationship Id="rId47" Type="http://schemas.openxmlformats.org/officeDocument/2006/relationships/hyperlink" Target="http://www.nevo.co.il/case/24312171" TargetMode="External"/><Relationship Id="rId48" Type="http://schemas.openxmlformats.org/officeDocument/2006/relationships/hyperlink" Target="http://www.nevo.co.il/law/70301/333" TargetMode="External"/><Relationship Id="rId49" Type="http://schemas.openxmlformats.org/officeDocument/2006/relationships/hyperlink" Target="http://www.nevo.co.il/law/70301/335.a.1" TargetMode="External"/><Relationship Id="rId50" Type="http://schemas.openxmlformats.org/officeDocument/2006/relationships/hyperlink" Target="http://www.nevo.co.il/case/25824863" TargetMode="External"/><Relationship Id="rId51" Type="http://schemas.openxmlformats.org/officeDocument/2006/relationships/hyperlink" Target="http://www.nevo.co.il/case/27933514" TargetMode="External"/><Relationship Id="rId52" Type="http://schemas.openxmlformats.org/officeDocument/2006/relationships/hyperlink" Target="http://www.nevo.co.il/case/21946424" TargetMode="External"/><Relationship Id="rId53" Type="http://schemas.openxmlformats.org/officeDocument/2006/relationships/hyperlink" Target="http://www.nevo.co.il/case/20253096" TargetMode="External"/><Relationship Id="rId54" Type="http://schemas.openxmlformats.org/officeDocument/2006/relationships/hyperlink" Target="http://www.nevo.co.il/case/5736890" TargetMode="External"/><Relationship Id="rId55" Type="http://schemas.openxmlformats.org/officeDocument/2006/relationships/hyperlink" Target="mailto:MaasarN@ips.gov.il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2023-11-15T08:06:00Z</dcterms:created>
  <dc:creator> </dc:creator>
  <dc:description/>
  <cp:keywords/>
  <dc:language>en-IL</dc:language>
  <cp:lastModifiedBy>h1</cp:lastModifiedBy>
  <dcterms:modified xsi:type="dcterms:W3CDTF">2023-11-15T08:06:00Z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חאזם ג'עפרה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24157975;5688667;20923897:2;16968075;20891758;24218819;6246835;20642756;21771414;24212779;3589270;25126873;24312171;25824863;27933514;21946424;20253096;5736890</vt:lpwstr>
  </property>
  <property fmtid="{D5CDD505-2E9C-101B-9397-08002B2CF9AE}" pid="9" name="CITY">
    <vt:lpwstr>י-ם</vt:lpwstr>
  </property>
  <property fmtid="{D5CDD505-2E9C-101B-9397-08002B2CF9AE}" pid="10" name="DATE">
    <vt:lpwstr>20221027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70301/329.a.1:7;333:11;335.a.1:11</vt:lpwstr>
  </property>
  <property fmtid="{D5CDD505-2E9C-101B-9397-08002B2CF9AE}" pid="15" name="LAWYER">
    <vt:lpwstr>כמאל אסלאן;אייל לידני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68789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390020221027</vt:lpwstr>
  </property>
  <property fmtid="{D5CDD505-2E9C-101B-9397-08002B2CF9AE}" pid="34" name="TYPE_N_DATE">
    <vt:lpwstr>39020221027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