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6961-02-22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רקייק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ליטל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מחמוד אבו רקייק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עיסאם אבו רקייק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אמיר אבו רקייק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שניהם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וואליד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כבוב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נאשמים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2,3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>)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4" w:end="0"/>
        <w:jc w:val="both"/>
        <w:rPr>
          <w:rFonts w:cs="David"/>
        </w:rPr>
      </w:pPr>
      <w:bookmarkStart w:id="8" w:name="ABSTRACT_START"/>
      <w:bookmarkEnd w:id="8"/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הורשעו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הודאתם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מתוקן</w:t>
      </w:r>
      <w:r>
        <w:rPr>
          <w:rFonts w:cs="David"/>
          <w:rtl w:val="true"/>
        </w:rPr>
        <w:t xml:space="preserve">. </w:t>
      </w:r>
      <w:r>
        <w:rPr>
          <w:rFonts w:cs="David"/>
          <w:u w:val="single"/>
          <w:rtl w:val="true"/>
        </w:rPr>
        <w:t>נאשם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</w:rPr>
        <w:t>1</w:t>
      </w:r>
      <w:r>
        <w:rPr>
          <w:rFonts w:cs="David"/>
          <w:u w:val="single"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האב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קשירת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קשר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לפשע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1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499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1</w:t>
        </w:r>
      </w:hyperlink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2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התשל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-</w:t>
      </w:r>
      <w:r>
        <w:rPr>
          <w:rFonts w:cs="David"/>
        </w:rPr>
        <w:t>1977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>: "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"); </w:t>
      </w:r>
      <w:r>
        <w:rPr>
          <w:rFonts w:cs="David"/>
          <w:u w:val="single"/>
          <w:rtl w:val="true"/>
        </w:rPr>
        <w:t>נאשם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קשירת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קשר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לפשע</w:t>
      </w:r>
      <w:r>
        <w:rPr>
          <w:rFonts w:cs="David"/>
          <w:rtl w:val="true"/>
        </w:rPr>
        <w:t xml:space="preserve">; </w:t>
      </w:r>
      <w:r>
        <w:rPr>
          <w:rFonts w:cs="David"/>
          <w:b/>
          <w:b/>
          <w:bCs/>
          <w:rtl w:val="true"/>
        </w:rPr>
        <w:t>חבלה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בכוונה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מחמירה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3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329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ונשיאת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4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רישא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קשירת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קשר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לפשע</w:t>
      </w:r>
      <w:r>
        <w:rPr>
          <w:rFonts w:cs="David"/>
          <w:rtl w:val="true"/>
        </w:rPr>
        <w:t xml:space="preserve">; </w:t>
      </w:r>
      <w:r>
        <w:rPr>
          <w:rFonts w:cs="David"/>
          <w:b/>
          <w:b/>
          <w:bCs/>
          <w:rtl w:val="true"/>
        </w:rPr>
        <w:t>סיוע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לחבלה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בכוונה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מחמירה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5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329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hyperlink r:id="rId16">
        <w:r>
          <w:rPr>
            <w:rStyle w:val="Hyperlink"/>
            <w:rFonts w:cs="David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31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וסיוע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לנשיאת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7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רישא</w:t>
      </w:r>
      <w:r>
        <w:rPr>
          <w:rtl w:val="true"/>
        </w:rPr>
        <w:t xml:space="preserve"> </w:t>
      </w:r>
      <w:hyperlink r:id="rId18">
        <w:r>
          <w:rPr>
            <w:rStyle w:val="Hyperlink"/>
            <w:rFonts w:cs="David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31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David"/>
        </w:rPr>
      </w:pPr>
      <w:r>
        <w:rPr>
          <w:rFonts w:cs="David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2"/>
        </w:numPr>
        <w:spacing w:lineRule="auto" w:line="360"/>
        <w:ind w:hanging="360" w:start="644" w:end="0"/>
        <w:jc w:val="both"/>
        <w:rPr>
          <w:rFonts w:cs="David"/>
        </w:rPr>
      </w:pPr>
      <w:r>
        <w:rPr>
          <w:rFonts w:cs="David"/>
          <w:rtl w:val="true"/>
        </w:rPr>
        <w:t>כנטען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למשפחתו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נתגלע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סכסוך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נשא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וסירוב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סכסוך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קשרו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23.1.22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לשעה</w:t>
      </w:r>
      <w:r>
        <w:rPr>
          <w:rtl w:val="true"/>
        </w:rPr>
        <w:t xml:space="preserve"> </w:t>
      </w:r>
      <w:r>
        <w:rPr>
          <w:rFonts w:cs="David"/>
        </w:rPr>
        <w:t>07:30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סקודה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ביחד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16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בכביש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צפון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עקבו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שנסעו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ניסאן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אקדח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בהגיעם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נחמיה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בכביש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נצמד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לדופן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שחוררו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נמלטו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rtl w:val="true"/>
        </w:rPr>
        <w:t>במעשיהם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המתוארים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ובקטינה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בקליע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ובקטינה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4" w:end="0"/>
        <w:jc w:val="both"/>
        <w:rPr>
          <w:rFonts w:cs="David"/>
        </w:rPr>
      </w:pP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17.7.22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החופפת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לנאשמים</w:t>
      </w:r>
      <w:r>
        <w:rPr>
          <w:rtl w:val="true"/>
        </w:rPr>
        <w:t xml:space="preserve"> </w:t>
      </w:r>
      <w:r>
        <w:rPr>
          <w:rFonts w:cs="David"/>
        </w:rPr>
        <w:t>2,3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והופנו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יליד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4" w:end="0"/>
        <w:jc w:val="both"/>
        <w:rPr>
          <w:rFonts w:cs="David"/>
        </w:rPr>
      </w:pP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22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ממוצא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רמלה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סיים</w:t>
      </w:r>
      <w:r>
        <w:rPr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לימודים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בכיתת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וטכנולוגיה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ותלמיד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מצטיין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משנת</w:t>
      </w:r>
      <w:r>
        <w:rPr>
          <w:rtl w:val="true"/>
        </w:rPr>
        <w:t xml:space="preserve"> </w:t>
      </w:r>
      <w:r>
        <w:rPr>
          <w:rFonts w:cs="David"/>
        </w:rPr>
        <w:t>2021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בהתייחסו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וחרטה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התנהלותו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לדבריו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התאהב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להנשא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משפחתה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התנגדה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לנישואיהם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התנכלה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ופגעה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והקנטות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להרחיקו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מושפל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כעס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ונקמנות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התנהלותו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תקינה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/>
        <w:ind w:start="644" w:end="0"/>
        <w:jc w:val="both"/>
        <w:rPr>
          <w:rFonts w:cs="David"/>
        </w:rPr>
      </w:pPr>
      <w:r>
        <w:rPr>
          <w:rFonts w:cs="David"/>
          <w:rtl w:val="true"/>
        </w:rPr>
        <w:t>להתרשמות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בבחור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גיבוש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הבוגרת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באימפולסיביות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ויסות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דחפיו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דחייה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בתגובה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קיצונית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מאידך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מגלה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אמפתיה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לסביבתו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ולפחד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שאהב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ניכר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ומבטא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מוטיבציה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צרכיו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להערכת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בינונית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כשלהליך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אפקט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מרתיע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בשקלול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בהמלצה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כשלהערכתו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שילובו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בטיפול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להתנהגות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Fonts w:cs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4" w:end="0"/>
        <w:jc w:val="both"/>
        <w:rPr>
          <w:rFonts w:cs="David"/>
        </w:rPr>
      </w:pP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אחיו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טרם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האלומיניום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למד</w:t>
      </w:r>
      <w:r>
        <w:rPr>
          <w:rtl w:val="true"/>
        </w:rPr>
        <w:t xml:space="preserve"> </w:t>
      </w:r>
      <w:r>
        <w:rPr>
          <w:rFonts w:cs="David"/>
        </w:rPr>
        <w:t>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לימודיים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לדבריו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בסכסוך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בויכוח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למתלונן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שבכוונת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בבחור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וסגור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למשפחתו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ולהתמודד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ומתקשה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מעמיקה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דפוסי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התנהגותו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המכשילים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המליץ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אלמנט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מרתיע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גבולות</w:t>
      </w:r>
      <w:r>
        <w:rPr>
          <w:rFonts w:cs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David"/>
        <w:numPr>
          <w:ilvl w:val="0"/>
          <w:numId w:val="2"/>
        </w:numPr>
        <w:ind w:hanging="360" w:start="644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Fonts w:ascii="David" w:hAnsi="David"/>
          <w:rtl w:val="true"/>
        </w:rPr>
        <w:t>הגנה על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נפשו ורכושו של אדם עד כפסע מאובדן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הדגישה כי מדובר במעשה מתוכנן לפגיעה במתלונן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פרי קשר בין הנאשמים ואת נסיבותיו החמורות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ירי במהלך נסיעה מהירה בנתיב נסיעה מרכזי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ריבוי היריות וכיוונן לעבר המתלונן ופוטנציאל הנזק הגבוה 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אחותו והמשתמשים בדרך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הפנתה להצהרת אמו של המתלונן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ולטראומה הקשה שחוו כל בני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הסכם הסולחה שהוצג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סבורה שאין ליתן לו משקל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בהסכם שנחתם מספר ימים עובר לדיון ולא ברור טיבו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באשר לעונשו של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שהצטייד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6-10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3-5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5-8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רכבם</w:t>
      </w:r>
      <w:r>
        <w:rPr>
          <w:rtl w:val="true"/>
        </w:rPr>
        <w:t xml:space="preserve">. </w:t>
      </w:r>
    </w:p>
    <w:p>
      <w:pPr>
        <w:pStyle w:val="David"/>
        <w:ind w:start="644" w:end="0"/>
        <w:jc w:val="both"/>
        <w:rPr/>
      </w:pPr>
      <w:r>
        <w:rPr>
          <w:rtl w:val="true"/>
        </w:rPr>
      </w:r>
    </w:p>
    <w:p>
      <w:pPr>
        <w:pStyle w:val="David"/>
        <w:ind w:start="644" w:end="0"/>
        <w:jc w:val="both"/>
        <w:rPr/>
      </w:pP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- </w:t>
      </w:r>
      <w:r>
        <w:rPr>
          <w:rtl w:val="true"/>
        </w:rPr>
        <w:t>בהצהרת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מדבריה</w:t>
      </w:r>
      <w:r>
        <w:rPr>
          <w:rtl w:val="true"/>
        </w:rPr>
        <w:t>.</w:t>
      </w:r>
    </w:p>
    <w:p>
      <w:pPr>
        <w:pStyle w:val="David"/>
        <w:ind w:start="720" w:end="0"/>
        <w:jc w:val="both"/>
        <w:rPr/>
      </w:pPr>
      <w:r>
        <w:rPr>
          <w:rtl w:val="true"/>
        </w:rPr>
      </w:r>
    </w:p>
    <w:p>
      <w:pPr>
        <w:pStyle w:val="David"/>
        <w:numPr>
          <w:ilvl w:val="0"/>
          <w:numId w:val="2"/>
        </w:numPr>
        <w:ind w:hanging="360" w:start="644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>כבוב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שנחתם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20.11.22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ולמקמם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בתחתיתם</w:t>
      </w:r>
      <w:r>
        <w:rPr>
          <w:rtl w:val="true"/>
        </w:rPr>
        <w:t xml:space="preserve">. </w:t>
      </w:r>
    </w:p>
    <w:p>
      <w:pPr>
        <w:pStyle w:val="David"/>
        <w:ind w:start="720" w:end="0"/>
        <w:jc w:val="both"/>
        <w:rPr/>
      </w:pPr>
      <w:r>
        <w:rPr>
          <w:rtl w:val="true"/>
        </w:rPr>
      </w:r>
    </w:p>
    <w:p>
      <w:pPr>
        <w:pStyle w:val="David"/>
        <w:numPr>
          <w:ilvl w:val="0"/>
          <w:numId w:val="2"/>
        </w:numPr>
        <w:ind w:hanging="360" w:start="644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tl w:val="true"/>
        </w:rPr>
        <w:t xml:space="preserve">,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David"/>
        <w:numPr>
          <w:ilvl w:val="0"/>
          <w:numId w:val="2"/>
        </w:numPr>
        <w:ind w:hanging="360" w:start="644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להתנכלויות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שספג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;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–כללי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4" w:end="0"/>
        <w:jc w:val="both"/>
        <w:rPr>
          <w:rFonts w:cs="David"/>
        </w:rPr>
      </w:pP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השיפוטי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</w:rPr>
        <w:t>113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פ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העיקרון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שפירושו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קיומו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בדרכו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הנהוגה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ובנסיבותיה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הקונקרטיות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לחרוג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לחומרא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העושה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644" w:end="0"/>
        <w:contextualSpacing/>
        <w:jc w:val="both"/>
        <w:rPr>
          <w:rFonts w:cs="David"/>
        </w:rPr>
      </w:pPr>
      <w:r>
        <w:rPr>
          <w:rFonts w:cs="David"/>
          <w:rtl w:val="true"/>
        </w:rPr>
        <w:t>מעשיהם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ומסוכנים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שפגעו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ובטחונו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שלומו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קדושת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ותחושת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כעסו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לחיזוריו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גמלה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בליבם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ביצע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בכביש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משתמשי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בנפש</w:t>
      </w:r>
      <w:r>
        <w:rPr>
          <w:rFonts w:cs="David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3"/>
        </w:numPr>
        <w:spacing w:lineRule="atLeast" w:line="360"/>
        <w:ind w:hanging="360" w:start="720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>עבירות האלימות ההולכות ופושות במגזר הערבי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 גם בחברה הישראלית כולה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הינן רעה חולה שיש למגרה ביד קשה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באירועים אלה נעשה לא אחת שימוש באקדחים ובנשק חם אחר לסוגיו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ככלי לפתרון סכסוכים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העלול להביא לפציעות חמורות ואף לאובדן חיים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העליון עמד על כך בהחלטות רבות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באחרונה שמביניהן</w:t>
      </w:r>
      <w:r>
        <w:rPr>
          <w:rFonts w:cs="David" w:ascii="David" w:hAnsi="David"/>
          <w:color w:val="000000"/>
          <w:rtl w:val="true"/>
        </w:rPr>
        <w:t xml:space="preserve">,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1275/22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שניתנה לפני מספר ימים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30.11.2022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נאמר 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tLeast" w:line="360"/>
        <w:ind w:start="720" w:end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 w:val="true"/>
        </w:rPr>
      </w:r>
    </w:p>
    <w:p>
      <w:pPr>
        <w:pStyle w:val="ruller40"/>
        <w:bidi w:val="1"/>
        <w:spacing w:lineRule="atLeast" w:line="360" w:before="0" w:after="0"/>
        <w:ind w:start="720" w:end="426"/>
        <w:jc w:val="both"/>
        <w:rPr>
          <w:rFonts w:ascii="Arial TUR;Arial" w:hAnsi="Arial TUR;Arial" w:cs="Arial TUR;Arial"/>
          <w:color w:val="000000"/>
          <w:spacing w:val="10"/>
          <w:sz w:val="22"/>
          <w:szCs w:val="22"/>
        </w:rPr>
      </w:pPr>
      <w:r>
        <w:rPr>
          <w:rFonts w:cs="David" w:ascii="David" w:hAnsi="David"/>
          <w:b/>
          <w:bCs/>
          <w:color w:val="000000"/>
          <w:spacing w:val="10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השימוש בנשק חם ככלי לפתרון סכסוכים הפך זה מכבר למכת מדינה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מידי יום אנו נחשפים למציאות קשה של זמינות נשק בלתי חוקי ולאירועים חוזרים ונשנים בהם נעשה בו שימוש כאמצעי ליישוב סכסוכים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חומרתן היתירה של עבירות אלה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פגיעתן הקשה והשפעתן על תחושת הביטחון של כלל אזרחי המדינה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 xml:space="preserve">זכו להתייחסות נרחבת בפסיקת בית משפט זה 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>(</w:t>
      </w:r>
      <w:hyperlink r:id="rId20">
        <w:r>
          <w:rPr>
            <w:rStyle w:val="Hyperlink"/>
            <w:rFonts w:ascii="David" w:hAnsi="David" w:cs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</w:rPr>
          <w:t>579/22</w:t>
        </w:r>
      </w:hyperlink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טחאינה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 xml:space="preserve">פסקה </w:t>
      </w:r>
      <w:r>
        <w:rPr>
          <w:rFonts w:cs="David" w:ascii="David" w:hAnsi="David"/>
          <w:b/>
          <w:bCs/>
          <w:color w:val="000000"/>
          <w:spacing w:val="10"/>
        </w:rPr>
        <w:t>15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 [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פורסם בנבו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>] (</w:t>
      </w:r>
      <w:r>
        <w:rPr>
          <w:rFonts w:cs="David" w:ascii="David" w:hAnsi="David"/>
          <w:b/>
          <w:bCs/>
          <w:color w:val="000000"/>
          <w:spacing w:val="10"/>
        </w:rPr>
        <w:t>13.6.2022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); </w:t>
      </w:r>
      <w:hyperlink r:id="rId21">
        <w:r>
          <w:rPr>
            <w:rStyle w:val="Hyperlink"/>
            <w:rFonts w:ascii="David" w:hAnsi="David" w:cs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</w:rPr>
          <w:t>1695/22</w:t>
        </w:r>
      </w:hyperlink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גנאים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 xml:space="preserve">פסקה </w:t>
      </w:r>
      <w:r>
        <w:rPr>
          <w:rFonts w:cs="David" w:ascii="David" w:hAnsi="David"/>
          <w:b/>
          <w:bCs/>
          <w:color w:val="000000"/>
          <w:spacing w:val="10"/>
        </w:rPr>
        <w:t>11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 [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פורסם בנבו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>] (</w:t>
      </w:r>
      <w:r>
        <w:rPr>
          <w:rFonts w:cs="David" w:ascii="David" w:hAnsi="David"/>
          <w:b/>
          <w:bCs/>
          <w:color w:val="000000"/>
          <w:spacing w:val="10"/>
        </w:rPr>
        <w:t>29.3.2022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)).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מדובר בתופעה</w:t>
      </w:r>
      <w:r>
        <w:rPr>
          <w:rFonts w:ascii="David" w:hAnsi="David" w:cs="David"/>
          <w:b/>
          <w:b/>
          <w:bCs/>
          <w:spacing w:val="10"/>
          <w:rtl w:val="true"/>
        </w:rPr>
        <w:t xml:space="preserve"> המאיימת על הסדר הציבורי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rtl w:val="true"/>
        </w:rPr>
        <w:t>על ביטחונם האישי של אזרחי המדינה ועל חוסנה של החברה</w:t>
      </w:r>
      <w:r>
        <w:rPr>
          <w:rFonts w:cs="David" w:ascii="David" w:hAnsi="David"/>
          <w:b/>
          <w:bCs/>
          <w:spacing w:val="10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10"/>
          <w:rtl w:val="true"/>
        </w:rPr>
        <w:t>זו מחייבת צעדי אכיפה בלתי מתפשרים וניהול מאבק נחוש במחולליה</w:t>
      </w:r>
      <w:r>
        <w:rPr>
          <w:rFonts w:cs="David" w:ascii="David" w:hAnsi="David"/>
          <w:b/>
          <w:bCs/>
          <w:spacing w:val="10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10"/>
          <w:rtl w:val="true"/>
        </w:rPr>
        <w:t>גם בית המשפט נדרש לתרום את חלקו למאבק זה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rtl w:val="true"/>
        </w:rPr>
        <w:t>על</w:t>
      </w:r>
      <w:r>
        <w:rPr>
          <w:rFonts w:cs="David" w:ascii="David" w:hAnsi="David"/>
          <w:b/>
          <w:bCs/>
          <w:spacing w:val="10"/>
          <w:rtl w:val="true"/>
        </w:rPr>
        <w:t>-</w:t>
      </w:r>
      <w:r>
        <w:rPr>
          <w:rFonts w:ascii="David" w:hAnsi="David" w:cs="David"/>
          <w:b/>
          <w:b/>
          <w:bCs/>
          <w:spacing w:val="10"/>
          <w:rtl w:val="true"/>
        </w:rPr>
        <w:t xml:space="preserve">ידי החמרת הענישה ומתן משקל משמעותי לשיקולי הרתעה בעת גזירת הדין </w:t>
      </w:r>
      <w:r>
        <w:rPr>
          <w:rFonts w:cs="David" w:ascii="David" w:hAnsi="David"/>
          <w:b/>
          <w:bCs/>
          <w:spacing w:val="10"/>
          <w:rtl w:val="true"/>
        </w:rPr>
        <w:t>(</w:t>
      </w:r>
      <w:hyperlink r:id="rId22">
        <w:r>
          <w:rPr>
            <w:rStyle w:val="Hyperlink"/>
            <w:rFonts w:ascii="David" w:hAnsi="David" w:cs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</w:rPr>
          <w:t>3169/21</w:t>
        </w:r>
      </w:hyperlink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10"/>
          <w:rtl w:val="true"/>
        </w:rPr>
        <w:t>מדינת ישראל נ</w:t>
      </w:r>
      <w:r>
        <w:rPr>
          <w:rFonts w:cs="David" w:ascii="David" w:hAnsi="David"/>
          <w:b/>
          <w:bCs/>
          <w:spacing w:val="1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10"/>
          <w:rtl w:val="true"/>
        </w:rPr>
        <w:t>אגבאריה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</w:rPr>
        <w:t>6</w:t>
      </w:r>
      <w:r>
        <w:rPr>
          <w:rFonts w:cs="David" w:ascii="David" w:hAnsi="David"/>
          <w:b/>
          <w:bCs/>
          <w:spacing w:val="10"/>
          <w:rtl w:val="true"/>
        </w:rPr>
        <w:t xml:space="preserve"> [</w:t>
      </w:r>
      <w:r>
        <w:rPr>
          <w:rFonts w:ascii="David" w:hAnsi="David" w:cs="David"/>
          <w:b/>
          <w:b/>
          <w:bCs/>
          <w:spacing w:val="10"/>
          <w:rtl w:val="true"/>
        </w:rPr>
        <w:t>פורסם בנבו</w:t>
      </w:r>
      <w:r>
        <w:rPr>
          <w:rFonts w:cs="David" w:ascii="David" w:hAnsi="David"/>
          <w:b/>
          <w:bCs/>
          <w:spacing w:val="10"/>
          <w:rtl w:val="true"/>
        </w:rPr>
        <w:t>] (</w:t>
      </w:r>
      <w:r>
        <w:rPr>
          <w:rFonts w:cs="David" w:ascii="David" w:hAnsi="David"/>
          <w:b/>
          <w:bCs/>
          <w:spacing w:val="10"/>
        </w:rPr>
        <w:t>21.6.2021</w:t>
      </w:r>
      <w:r>
        <w:rPr>
          <w:rFonts w:cs="David" w:ascii="David" w:hAnsi="David"/>
          <w:b/>
          <w:bCs/>
          <w:spacing w:val="10"/>
          <w:rtl w:val="true"/>
        </w:rPr>
        <w:t>))".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tLeast" w:line="360"/>
        <w:ind w:start="644" w:end="426"/>
        <w:jc w:val="both"/>
        <w:rPr>
          <w:rFonts w:ascii="Arial TUR;Arial" w:hAnsi="Arial TUR;Arial" w:cs="Times New Roman"/>
          <w:color w:val="000000"/>
          <w:spacing w:val="10"/>
          <w:sz w:val="22"/>
          <w:szCs w:val="22"/>
        </w:rPr>
      </w:pPr>
      <w:r>
        <w:rPr>
          <w:rFonts w:cs="Times New Roman" w:ascii="Arial TUR;Arial" w:hAnsi="Arial TUR;Arial"/>
          <w:color w:val="000000"/>
          <w:spacing w:val="10"/>
          <w:sz w:val="22"/>
          <w:szCs w:val="2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644" w:end="0"/>
        <w:contextualSpacing/>
        <w:jc w:val="both"/>
        <w:rPr>
          <w:rFonts w:cs="David"/>
        </w:rPr>
      </w:pP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חלופת</w:t>
      </w:r>
      <w:r>
        <w:rPr>
          <w:rtl w:val="true"/>
        </w:rPr>
        <w:t xml:space="preserve"> </w:t>
      </w:r>
      <w:hyperlink r:id="rId23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329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שכוונתם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משתקפת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בקביעתו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באמצעות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המושלמת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ולצדה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 w:before="0" w:after="160"/>
        <w:ind w:end="426"/>
        <w:contextualSpacing/>
        <w:jc w:val="both"/>
        <w:rPr/>
      </w:pPr>
      <w:r>
        <w:rPr>
          <w:rFonts w:cs="David"/>
          <w:rtl w:val="true"/>
        </w:rPr>
        <w:t>יפים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ובראן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24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7528/13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אלטאראש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(</w:t>
      </w:r>
      <w:r>
        <w:rPr>
          <w:rFonts w:cs="David"/>
        </w:rPr>
        <w:t>26.5.2014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בהתייחסו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הנדונה</w:t>
      </w:r>
      <w:r>
        <w:rPr>
          <w:rFonts w:cs="David"/>
          <w:rtl w:val="true"/>
        </w:rPr>
        <w:t>:</w:t>
      </w:r>
    </w:p>
    <w:p>
      <w:pPr>
        <w:pStyle w:val="Normal"/>
        <w:spacing w:lineRule="auto" w:line="360" w:before="0" w:after="160"/>
        <w:ind w:start="644" w:end="426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להבדיל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5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329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מושלמת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בנזק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משכך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כשלעצמה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לקולה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644" w:end="0"/>
        <w:contextualSpacing/>
        <w:jc w:val="both"/>
        <w:rPr>
          <w:rFonts w:cs="David"/>
        </w:rPr>
      </w:pP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נשיאת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והובלתו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באחר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644" w:end="0"/>
        <w:contextualSpacing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תופעת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והקלות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Fonts w:cs="David"/>
          <w:rtl w:val="true"/>
        </w:rPr>
        <w:t>: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 w:before="0" w:after="160"/>
        <w:ind w:end="851"/>
        <w:contextualSpacing/>
        <w:jc w:val="both"/>
        <w:rPr/>
      </w:pPr>
      <w:r>
        <w:rPr>
          <w:rFonts w:cs="David"/>
          <w:rtl w:val="true"/>
        </w:rPr>
        <w:t>"</w:t>
      </w:r>
      <w:r>
        <w:rPr>
          <w:rFonts w:cs="David"/>
          <w:b/>
          <w:b/>
          <w:bCs/>
          <w:rtl w:val="true"/>
        </w:rPr>
        <w:t>רבות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נאמר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ונכתב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הרעה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החולה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הפוקדת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מקומותינו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ומותירה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חלל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והרס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היא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התופעה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שימוש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בנשק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ברחובה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עיר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גם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סכסוכים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בעניינים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בכך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בית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משפט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חזר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והתריע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מפני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התפשטות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התופעה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וקבע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באופן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ברור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להילחם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ולמגרה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באופן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נחרץ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ביותר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דמם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אלו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אשר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קיפדו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פתיל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חייהם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בכללם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עוברי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אורח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תמימים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זועק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האדמה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אין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מנוס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מהטלת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עונש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מאסר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ממש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בנסיבות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אלו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גם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מדובר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באנשים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נורמטיביים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עבר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פלילי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מכביד</w:t>
      </w:r>
      <w:r>
        <w:rPr>
          <w:rFonts w:cs="David"/>
          <w:b/>
          <w:bCs/>
          <w:rtl w:val="true"/>
        </w:rPr>
        <w:t xml:space="preserve">" </w:t>
      </w:r>
      <w:r>
        <w:rPr>
          <w:rFonts w:cs="David"/>
          <w:rtl w:val="true"/>
        </w:rPr>
        <w:t>(</w:t>
      </w:r>
      <w:hyperlink r:id="rId26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32/14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עמאש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17.9.2015</w:t>
      </w:r>
      <w:r>
        <w:rPr>
          <w:rFonts w:cs="David"/>
          <w:rtl w:val="true"/>
        </w:rPr>
        <w:t>).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644" w:end="0"/>
        <w:contextualSpacing/>
        <w:jc w:val="both"/>
        <w:rPr>
          <w:rFonts w:cs="David"/>
          <w:b/>
          <w:bCs/>
        </w:rPr>
      </w:pPr>
      <w:r>
        <w:rPr>
          <w:rFonts w:cs="David"/>
          <w:b/>
          <w:b/>
          <w:bCs/>
          <w:rtl w:val="true"/>
        </w:rPr>
        <w:t>בענייננו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יש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במעשיהם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הנאשמים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פנים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רבים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חומרה</w:t>
      </w:r>
      <w:r>
        <w:rPr>
          <w:rFonts w:cs="David"/>
          <w:b/>
          <w:bCs/>
          <w:rtl w:val="true"/>
        </w:rPr>
        <w:t>: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Fonts w:cs="David"/>
          <w:rtl w:val="true"/>
        </w:rPr>
        <w:t>המעשים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בוצעו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לאחר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תכנון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והכנה</w:t>
      </w:r>
      <w:r>
        <w:rPr>
          <w:rFonts w:cs="David"/>
          <w:u w:val="single"/>
          <w:rtl w:val="true"/>
        </w:rPr>
        <w:t xml:space="preserve">, </w:t>
      </w:r>
      <w:r>
        <w:rPr>
          <w:rFonts w:cs="David"/>
          <w:u w:val="single"/>
          <w:rtl w:val="true"/>
        </w:rPr>
        <w:t>פרי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תכנית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מוקדמת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אותה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טוו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ביחד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אביהם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במסגרת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הקשר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ביניהם</w:t>
      </w:r>
      <w:r>
        <w:rPr>
          <w:rFonts w:cs="David"/>
          <w:u w:val="single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הצטייד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באקדח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צמד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</w:t>
      </w:r>
      <w:r>
        <w:rPr>
          <w:rFonts w:cs="David"/>
          <w:rtl w:val="true"/>
        </w:rPr>
        <w:t>;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Fonts w:cs="David"/>
          <w:u w:val="single"/>
          <w:rtl w:val="true"/>
        </w:rPr>
        <w:t>הרקע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לביצוע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המעשים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הוא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סכסוך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זוטא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בין</w:t>
      </w:r>
      <w:r>
        <w:rPr>
          <w:u w:val="single"/>
          <w:rtl w:val="true"/>
        </w:rPr>
        <w:t xml:space="preserve">  </w:t>
      </w:r>
      <w:r>
        <w:rPr>
          <w:rFonts w:cs="David"/>
          <w:u w:val="single"/>
          <w:rtl w:val="true"/>
        </w:rPr>
        <w:t>נאשם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</w:rPr>
        <w:t>2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למשפחת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המתלונן</w:t>
      </w:r>
      <w:r>
        <w:rPr>
          <w:rFonts w:cs="David"/>
          <w:u w:val="single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רקם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במתלונן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חטאו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בהתנגדות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לנישואי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לאחותו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בתסקירו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השפלה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כעס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Fonts w:cs="David"/>
          <w:u w:val="single"/>
          <w:rtl w:val="true"/>
        </w:rPr>
        <w:t>נסיבות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מעשי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הנאשמים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חמורות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וקשות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מדוייק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ומטווח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ובסיוע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שביכולתו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והמרחק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התקיימה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המיוחדת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במתלונן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מהנאשמים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שמנעה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התממשות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Fonts w:cs="David"/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cs="David"/>
          <w:u w:val="single"/>
          <w:rtl w:val="true"/>
        </w:rPr>
        <w:t>חומרה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יתרה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לייחס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לביצוע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הירי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לעבר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מכונית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נוסעת</w:t>
      </w:r>
      <w:r>
        <w:rPr>
          <w:rFonts w:cs="David"/>
          <w:u w:val="single"/>
          <w:rtl w:val="true"/>
        </w:rPr>
        <w:t xml:space="preserve">; </w:t>
      </w:r>
      <w:r>
        <w:rPr>
          <w:rFonts w:cs="David"/>
          <w:u w:val="single"/>
          <w:rtl w:val="true"/>
        </w:rPr>
        <w:t>מיקום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הירי</w:t>
      </w:r>
      <w:r>
        <w:rPr>
          <w:rFonts w:cs="David"/>
          <w:u w:val="single"/>
          <w:rtl w:val="true"/>
        </w:rPr>
        <w:t xml:space="preserve">, </w:t>
      </w:r>
      <w:r>
        <w:rPr>
          <w:rFonts w:cs="David"/>
          <w:u w:val="single"/>
          <w:rtl w:val="true"/>
        </w:rPr>
        <w:t>כביש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עירוני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עמוס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וצפוף</w:t>
      </w:r>
      <w:r>
        <w:rPr>
          <w:rFonts w:cs="David"/>
          <w:u w:val="single"/>
          <w:rtl w:val="true"/>
        </w:rPr>
        <w:t xml:space="preserve">; </w:t>
      </w:r>
      <w:r>
        <w:rPr>
          <w:rFonts w:cs="David"/>
          <w:u w:val="single"/>
          <w:rtl w:val="true"/>
        </w:rPr>
        <w:t>ומועדו</w:t>
      </w:r>
      <w:r>
        <w:rPr>
          <w:rFonts w:cs="David"/>
          <w:u w:val="single"/>
          <w:rtl w:val="true"/>
        </w:rPr>
        <w:t xml:space="preserve">, </w:t>
      </w:r>
      <w:r>
        <w:rPr>
          <w:rFonts w:cs="David"/>
          <w:u w:val="single"/>
          <w:rtl w:val="true"/>
        </w:rPr>
        <w:t>שעת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בוקר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שבה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יוצאים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אנשים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עבודתם</w:t>
      </w:r>
      <w:r>
        <w:rPr>
          <w:rFonts w:cs="David"/>
          <w:u w:val="single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 </w:t>
      </w:r>
      <w:r>
        <w:rPr>
          <w:rFonts w:cs="David"/>
          <w:rtl w:val="true"/>
        </w:rPr>
        <w:t>הנובע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ממעשיהם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כפול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ומכופל</w:t>
      </w:r>
      <w:r>
        <w:rPr>
          <w:rFonts w:cs="David"/>
          <w:b/>
          <w:bCs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ש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מתקיים בענייננו צירוף חמור במיוחד של ירי לעבר אחרים ושל סיכון חיי הנוסעים בכלי רכב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שהרי הסיכון הוא סיכון משולב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הן של הירי עצמו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הן של ההתרחשות תאונת דרכים כתוצאה מהיר</w:t>
      </w:r>
      <w:r>
        <w:rPr>
          <w:rFonts w:ascii="FrankRuehl" w:hAnsi="FrankRuehl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b/>
          <w:bCs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David" w:ascii="David" w:hAnsi="David"/>
          <w:color w:val="000000"/>
          <w:spacing w:val="10"/>
          <w:rtl w:val="true"/>
        </w:rPr>
        <w:t>(</w:t>
      </w:r>
      <w:hyperlink r:id="rId27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4800/11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מגיס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18</w:t>
      </w:r>
      <w:r>
        <w:rPr>
          <w:rFonts w:cs="David"/>
          <w:rtl w:val="true"/>
        </w:rPr>
        <w:t xml:space="preserve"> (</w:t>
      </w:r>
      <w:r>
        <w:rPr>
          <w:rFonts w:cs="David"/>
        </w:rPr>
        <w:t>31.1.2013</w:t>
      </w:r>
      <w:r>
        <w:rPr>
          <w:rFonts w:cs="David"/>
          <w:rtl w:val="true"/>
        </w:rPr>
        <w:t>)</w:t>
      </w:r>
      <w:r>
        <w:rPr>
          <w:rFonts w:cs="David" w:ascii="David" w:hAnsi="David"/>
          <w:color w:val="000000"/>
          <w:spacing w:val="10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לעקוב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כנגדו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שייבחרו</w:t>
      </w:r>
      <w:r>
        <w:rPr>
          <w:rFonts w:cs="David"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בחירתם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להוציא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לפועל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תכניתם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בשעת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בוקר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מוקדמת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ועמוסה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בעורק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תעבורה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ראשי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מלמדת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כוונתם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הברורה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לפגוע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במתלונן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ויהי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יאבד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חלילה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יתהפך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האחרים</w:t>
      </w:r>
      <w:r>
        <w:rPr>
          <w:rFonts w:cs="David"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עוד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נלמד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ממנה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יחסם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האדיש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והמקומם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כלפי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חיי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בכביש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תנועת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ייקלעו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האפשרית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לתאונת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שתוצאותיה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וחמורות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הוציאו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עפעף</w:t>
      </w:r>
      <w:r>
        <w:rPr>
          <w:rFonts w:cs="David"/>
          <w:rtl w:val="true"/>
        </w:rPr>
        <w:t>;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Fonts w:cs="David"/>
          <w:b/>
          <w:b/>
          <w:bCs/>
          <w:rtl w:val="true"/>
        </w:rPr>
        <w:t>אך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במזל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הצליח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המתלונן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למלט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עצמו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אחותו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שישבה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לצדו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פגע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ניזוק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מנתיבו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ואולם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פוטנציאל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הנזק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מהתנהלות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הנאשמים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חמור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מאד</w:t>
      </w:r>
      <w:r>
        <w:rPr>
          <w:rFonts w:cs="David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המזל ששיחק למתלונן אין בו כדי להקהות מממדי החומרה בהתנהלותם</w:t>
      </w:r>
      <w:r>
        <w:rPr>
          <w:rFonts w:cs="David" w:ascii="David" w:hAnsi="David"/>
          <w:color w:val="000000"/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Fonts w:cs="David"/>
          <w:b/>
          <w:b/>
          <w:bCs/>
          <w:rtl w:val="true"/>
        </w:rPr>
        <w:t>הנאשם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המרכזי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2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הוא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הרוח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החיה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מאחורי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האירועים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יוזם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האירוע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ומבצע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בתחמושת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במתלונן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אין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בכך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כדי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להמעיט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מחומרת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מעשיו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ובתרומתם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הפסולים</w:t>
      </w:r>
      <w:r>
        <w:rPr>
          <w:rFonts w:cs="David"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מדובר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במעשי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סיוע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משמעותיים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נצמד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ולאחריו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מהמקום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נועדו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נהיגתו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נוכחותו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נוכחות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Fonts w:cs="David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חיזקה את ידיו של אחיו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מעשיו הגדילו את סיכויי הגשמת התכנית העבריינית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644" w:end="0"/>
        <w:contextualSpacing/>
        <w:jc w:val="both"/>
        <w:rPr>
          <w:rFonts w:cs="David"/>
        </w:rPr>
      </w:pPr>
      <w:r>
        <w:rPr>
          <w:rFonts w:ascii="David" w:hAnsi="David" w:cs="David"/>
          <w:color w:val="000000"/>
          <w:rtl w:val="true"/>
        </w:rPr>
        <w:t xml:space="preserve">על יסוד נסיבות מעשי </w:t>
      </w:r>
      <w:r>
        <w:rPr>
          <w:rFonts w:ascii="David" w:hAnsi="David" w:cs="David"/>
          <w:b/>
          <w:b/>
          <w:bCs/>
          <w:color w:val="000000"/>
          <w:rtl w:val="true"/>
        </w:rPr>
        <w:t xml:space="preserve">נאשם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מצאתי לקבוע כי פגיעתו בערכים המוגנים היא </w:t>
      </w:r>
      <w:r>
        <w:rPr>
          <w:rFonts w:ascii="David" w:hAnsi="David" w:cs="David"/>
          <w:b/>
          <w:b/>
          <w:bCs/>
          <w:color w:val="000000"/>
          <w:rtl w:val="true"/>
        </w:rPr>
        <w:t>ברף גבוה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בהקשר זה נתתי דעתי לתכנית העבריינית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לרקע למעשים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לכך שנשא אקדח טעון במטרה לפגוע במתלונן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לנסיבות הירי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לנזק ולפוטנציאל הנזק הרב של 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 xml:space="preserve">נוכח מעשיו של </w:t>
      </w:r>
      <w:r>
        <w:rPr>
          <w:rFonts w:ascii="David" w:hAnsi="David" w:cs="David"/>
          <w:b/>
          <w:b/>
          <w:bCs/>
          <w:color w:val="000000"/>
          <w:rtl w:val="true"/>
        </w:rPr>
        <w:t xml:space="preserve">נאשם </w:t>
      </w:r>
      <w:r>
        <w:rPr>
          <w:rFonts w:cs="David" w:ascii="David" w:hAnsi="David"/>
          <w:b/>
          <w:bCs/>
          <w:color w:val="000000"/>
        </w:rPr>
        <w:t>3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חלקו ותרומתו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ראיתי לקבוע כי פגיעתו בערכים המוגנים היא </w:t>
      </w:r>
      <w:r>
        <w:rPr>
          <w:rFonts w:ascii="David" w:hAnsi="David" w:cs="David"/>
          <w:b/>
          <w:b/>
          <w:bCs/>
          <w:color w:val="000000"/>
          <w:rtl w:val="true"/>
        </w:rPr>
        <w:t>ברף בינוני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eastAsia="David" w:cs="David" w:ascii="David" w:hAnsi="David"/>
          <w:color w:val="000000"/>
          <w:rtl w:val="true"/>
        </w:rPr>
        <w:t xml:space="preserve"> 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644" w:end="0"/>
        <w:contextualSpacing/>
        <w:jc w:val="both"/>
        <w:rPr>
          <w:rFonts w:cs="David"/>
        </w:rPr>
      </w:pPr>
      <w:r>
        <w:rPr>
          <w:rFonts w:ascii="David" w:hAnsi="David" w:cs="David"/>
          <w:b/>
          <w:b/>
          <w:bCs/>
          <w:color w:val="000000"/>
          <w:rtl w:val="true"/>
        </w:rPr>
        <w:t xml:space="preserve">מהו העונש הראוי שיש לגזור בנסיבות מעשי הנאשם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rtl w:val="true"/>
        </w:rPr>
        <w:t>שהורשע בניסיון מתוכנן לחבלה בכוונה מחמירה תוך כדי נשיאת נשק שלא כדין וירי ממנו</w:t>
      </w:r>
      <w:r>
        <w:rPr>
          <w:rFonts w:cs="David" w:ascii="David" w:hAnsi="David"/>
          <w:b/>
          <w:bCs/>
          <w:color w:val="000000"/>
          <w:rtl w:val="true"/>
        </w:rPr>
        <w:t>?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בהתייחס למדיניות הענישה הנוהגת אומר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כי הפסיקה מורה כי שיקולי הרתעה וגמול מחייבים ענישה מכבידה ומרתיעה בעבירות אלימות קשות ובעבירות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הפסיקה אינה מקלה גם עם נאשמים צעירים שזו להם הסתבכותם הראשונה עם החוק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ומבכרת את האינטרס הציבורי על פני נסיבותיו האישיות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לרבות במקרי 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עוד יצויין בהקשר 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כי חרף העדרו של מדרג ענישתי </w:t>
      </w:r>
      <w:hyperlink r:id="rId28">
        <w:r>
          <w:rPr>
            <w:rStyle w:val="Hyperlink"/>
            <w:rFonts w:ascii="David" w:hAnsi="David" w:cs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329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בין מקרים שבהם בוצעה פגיעה לבין מקרים שמדובר בניסיון פגיעה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ניתן לכך ביטוי מסויים במדיניות הענישה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כשבמקרים שבהם בוצעה פגיעה בקורבן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נגזרו על מבצעיהם עונשים חמורים יותר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המשקפת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פיזית</w:t>
      </w:r>
      <w:r>
        <w:rPr>
          <w:rFonts w:cs="David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hyperlink r:id="rId29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780/16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rtl w:val="true"/>
        </w:rPr>
        <w:t>שושה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20.2.2017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 w:cs="David"/>
          <w:color w:val="000000"/>
          <w:rtl w:val="true"/>
        </w:rPr>
        <w:t>נדחה ערעורו של נאשם אשר הורשע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לאחר ניהול הוכחות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בעבירה של חבלה בכוונה מחמירה ונשיאת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על רקע סכסוך קודם עם משפחת המתלונן שכלל אירוע ירי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מספר חודשים עובר למעשיו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ופציעת אביו ואחיו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הגיע לבית המתלונן כשהוא אוחז באקדח בשעה שהגיעו למקום המתלונן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אשתו וילדיו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הנאשם ירה לעבר המתלונן שבע יריות ממרחק קצר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המתלונן ומשפחתו הסתתרו ויצאו ללא פגע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 xml:space="preserve">נקבע מתחם ענישה שנע בין </w:t>
      </w:r>
      <w:r>
        <w:rPr>
          <w:rFonts w:cs="David" w:ascii="David" w:hAnsi="David"/>
          <w:color w:val="000000"/>
        </w:rPr>
        <w:t>4-7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הנאשם 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ללא עבר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נדון למאסר בן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>;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hyperlink r:id="rId30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6022/10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שלעאטה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19.3.2012</w:t>
      </w:r>
      <w:r>
        <w:rPr>
          <w:rFonts w:cs="David"/>
          <w:rtl w:val="true"/>
        </w:rPr>
        <w:t xml:space="preserve">)-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המזכיר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המערער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שסירבה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להצעתו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מדרכה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סכסוך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באוויר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31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329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הושתו</w:t>
      </w:r>
      <w:r>
        <w:rPr>
          <w:rtl w:val="true"/>
        </w:rPr>
        <w:t xml:space="preserve"> </w:t>
      </w:r>
      <w:r>
        <w:rPr>
          <w:rFonts w:cs="David"/>
        </w:rPr>
        <w:t>53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הכוללים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ערעורו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נדחה</w:t>
      </w:r>
      <w:r>
        <w:rPr>
          <w:rFonts w:cs="David"/>
          <w:rtl w:val="true"/>
        </w:rPr>
        <w:t>;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hyperlink r:id="rId32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6496/21</w:t>
        </w:r>
      </w:hyperlink>
      <w:r>
        <w:rPr>
          <w:rFonts w:cs="David"/>
        </w:rPr>
        <w:t>,6531/21</w:t>
      </w:r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באסל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ומוחמד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ריאן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20.12.2021</w:t>
      </w:r>
      <w:r>
        <w:rPr>
          <w:rFonts w:cs="David"/>
          <w:rtl w:val="true"/>
        </w:rPr>
        <w:t xml:space="preserve">)- </w:t>
      </w:r>
      <w:r>
        <w:rPr>
          <w:rFonts w:cs="David"/>
          <w:rtl w:val="true"/>
        </w:rPr>
        <w:t>המערערים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מחמירה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נשיאת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סכסוך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החליטו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להפחידם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הבחינו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נוסע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ובעודו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נוהג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כשבאסל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הקליעים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3-6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בהודאתם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ועברם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כנגד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באסל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במצטבר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ערעוריהם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שבמעשיהם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בהלימה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שנכרת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תחליף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Fonts w:cs="David"/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Fonts w:cs="David"/>
          <w:rtl w:val="true"/>
        </w:rPr>
        <w:t>ב</w:t>
      </w:r>
      <w:hyperlink r:id="rId33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768/13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נאסר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29.10.2014</w:t>
      </w:r>
      <w:r>
        <w:rPr>
          <w:rFonts w:cs="David"/>
          <w:rtl w:val="true"/>
        </w:rPr>
        <w:t xml:space="preserve">) , </w:t>
      </w:r>
      <w:r>
        <w:rPr>
          <w:rFonts w:cs="David"/>
          <w:rtl w:val="true"/>
        </w:rPr>
        <w:t>נדחה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מחמירה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קשירת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ונשיאת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לרדוף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בסוברו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Fonts w:cs="David"/>
          <w:rtl w:val="true"/>
        </w:rPr>
        <w:t>;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hyperlink r:id="rId34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2847/16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בילאל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רשיד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9.3.2017</w:t>
      </w:r>
      <w:r>
        <w:rPr>
          <w:rFonts w:cs="David"/>
          <w:rtl w:val="true"/>
        </w:rPr>
        <w:t xml:space="preserve">)-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ונשיאת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סכסוך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בפגז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זיקוקין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ותחמושת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באוויר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בהמשך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נהדף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הושתו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הערעור</w:t>
      </w:r>
      <w:r>
        <w:rPr>
          <w:rFonts w:cs="David"/>
          <w:rtl w:val="true"/>
        </w:rPr>
        <w:t>;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hyperlink r:id="rId35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4406/19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יונס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סובח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ואח</w:t>
      </w:r>
      <w:r>
        <w:rPr>
          <w:rFonts w:cs="David"/>
          <w:b/>
          <w:bCs/>
          <w:rtl w:val="true"/>
        </w:rPr>
        <w:t>'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מחמירה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סכסוך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הצטיידו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באקדחים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שפגעו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בבטנו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נגזרו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24-50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מתעצמת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הצטיידות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שארבו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למתלוננים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בקיומה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סולחה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להצדיק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בעונשיהם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לנוכח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בעונשם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ירצה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תחת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שנגזרו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ירצה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תחת</w:t>
      </w:r>
      <w:r>
        <w:rPr>
          <w:rtl w:val="true"/>
        </w:rPr>
        <w:t xml:space="preserve"> </w:t>
      </w:r>
      <w:r>
        <w:rPr>
          <w:rFonts w:cs="David"/>
        </w:rPr>
        <w:t>42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שחלקו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ירצה</w:t>
      </w:r>
      <w:r>
        <w:rPr>
          <w:rtl w:val="true"/>
        </w:rPr>
        <w:t xml:space="preserve"> </w:t>
      </w:r>
      <w:r>
        <w:rPr>
          <w:rFonts w:cs="David"/>
        </w:rPr>
        <w:t>3.5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שהוטלו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>;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Fonts w:cs="David"/>
          <w:rtl w:val="true"/>
        </w:rPr>
        <w:t>ב</w:t>
      </w:r>
      <w:hyperlink r:id="rId36">
        <w:r>
          <w:rPr>
            <w:rStyle w:val="Hyperlink"/>
            <w:rFonts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/>
            <w:color w:val="0000FF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/>
            <w:color w:val="0000FF"/>
            <w:u w:val="single"/>
          </w:rPr>
          <w:t>33458-08-14</w:t>
        </w:r>
      </w:hyperlink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שעבי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5.4.2017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נדון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הוכחות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מחמירה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נשיאת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ואיומים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סכסוך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באקדח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פגעו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4-7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64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cs="David"/>
          <w:color w:val="000000"/>
          <w:rtl w:val="true"/>
        </w:rPr>
        <w:t>נשיאת הנשק לבדה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במיוחד במקום שבו נעשה בו שימוש לפגיעה באחר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מצדיק</w:t>
      </w:r>
      <w:r>
        <w:rPr>
          <w:rFonts w:ascii="David" w:hAnsi="David" w:cs="David"/>
          <w:color w:val="000000"/>
          <w:rtl w:val="true"/>
        </w:rPr>
        <w:t>ה</w:t>
      </w:r>
      <w:r>
        <w:rPr>
          <w:rFonts w:ascii="David" w:hAnsi="David" w:cs="David"/>
          <w:color w:val="000000"/>
          <w:rtl w:val="true"/>
        </w:rPr>
        <w:t xml:space="preserve"> הטלת מאסר בפועל ממושך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 xml:space="preserve">רף הענישה בעבירות אלו </w:t>
      </w:r>
      <w:r>
        <w:rPr>
          <w:rFonts w:ascii="David" w:hAnsi="David" w:cs="David"/>
          <w:rtl w:val="true"/>
        </w:rPr>
        <w:t>מצוי במגמת החמרה עקבית ומתמשכת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כך ב</w:t>
      </w:r>
      <w:hyperlink r:id="rId3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פלוני</w:t>
      </w:r>
      <w:r>
        <w:rPr>
          <w:rFonts w:ascii="David" w:hAnsi="David" w:cs="David"/>
          <w:rtl w:val="true"/>
        </w:rPr>
        <w:t xml:space="preserve"> נקבע במקרה של נשיאת אקדח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מתחם ענישה ראוי שנע בין </w:t>
      </w:r>
      <w:r>
        <w:rPr>
          <w:rFonts w:cs="David" w:ascii="David" w:hAnsi="David"/>
        </w:rPr>
        <w:t>30-42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תושב האזור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נגזרו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 מאסר חלף עונש מאסר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start="644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spacing w:lineRule="auto" w:line="360" w:before="0" w:after="160"/>
        <w:ind w:start="644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 w:cs="David"/>
          <w:rtl w:val="true"/>
        </w:rPr>
        <w:t>הנאשמים הורשעו גם בעבירה של קשירת קשר לביצוע פשע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בגינה נדון אביהם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למאסר בן </w:t>
      </w:r>
      <w:r>
        <w:rPr>
          <w:rFonts w:eastAsia="David" w:cs="David" w:ascii="David" w:hAnsi="David"/>
        </w:rPr>
        <w:t>7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לא מצאתי שיש לגזור עליהם עונש נוסף בגינה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כשלתכנון המעשה בצוותא יינתן ביטוי בגזירת העונש הכולל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644" w:end="0"/>
        <w:contextualSpacing/>
        <w:jc w:val="both"/>
        <w:rPr>
          <w:rFonts w:ascii="David" w:hAnsi="David" w:cs="David"/>
        </w:rPr>
      </w:pP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ובצדק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</w:t>
      </w:r>
      <w:hyperlink r:id="rId38">
        <w:r>
          <w:rPr>
            <w:rStyle w:val="Hyperlink"/>
            <w:rFonts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/>
            <w:color w:val="0000FF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u w:val="single"/>
          </w:rPr>
          <w:t>45191-09-14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אגבריה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ואח</w:t>
      </w:r>
      <w:r>
        <w:rPr>
          <w:rFonts w:cs="David"/>
          <w:b/>
          <w:bCs/>
          <w:rtl w:val="true"/>
        </w:rPr>
        <w:t>'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המחמירה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שסירב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שנסעו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בכביש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רכובים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הקורבן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שונות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סחיטה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באיומים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שחלקו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התמצה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שבפנינו</w:t>
      </w:r>
      <w:r>
        <w:rPr>
          <w:rFonts w:cs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עיינתי באסופת הפסיקה שהגישה ההגנה אך לא מצאתי לגזור ממנה גזירה שווה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 xml:space="preserve">בחלקה מדובר בענישה פרי הסדר טיעון ובהרשעה בעבירה קלה יותר של חבלה חמורה </w:t>
      </w:r>
      <w:r>
        <w:rPr>
          <w:rFonts w:eastAsia="David" w:cs="David" w:ascii="David" w:hAnsi="David"/>
          <w:rtl w:val="true"/>
        </w:rPr>
        <w:t>(</w:t>
      </w:r>
      <w:hyperlink r:id="rId39">
        <w:r>
          <w:rPr>
            <w:rStyle w:val="Hyperlink"/>
            <w:rFonts w:ascii="David" w:hAnsi="David" w:eastAsia="David" w:cs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333</w:t>
        </w:r>
      </w:hyperlink>
      <w:r>
        <w:rPr>
          <w:rFonts w:eastAsia="David" w:cs="David" w:ascii="David" w:hAnsi="David"/>
          <w:rtl w:val="true"/>
        </w:rPr>
        <w:t xml:space="preserve"> </w:t>
      </w:r>
      <w:hyperlink r:id="rId40">
        <w:r>
          <w:rPr>
            <w:rStyle w:val="Hyperlink"/>
            <w:rFonts w:ascii="David" w:hAnsi="David" w:eastAsia="David" w:cs="David"/>
            <w:rtl w:val="true"/>
          </w:rPr>
          <w:t xml:space="preserve">וסעיף </w:t>
        </w:r>
        <w:r>
          <w:rPr>
            <w:rStyle w:val="Hyperlink"/>
            <w:rFonts w:eastAsia="David" w:cs="David" w:ascii="David" w:hAnsi="David"/>
          </w:rPr>
          <w:t>335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 w:cs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)(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לחוק</w:t>
      </w:r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 w:cs="David"/>
          <w:rtl w:val="true"/>
        </w:rPr>
        <w:t>ב</w:t>
      </w:r>
      <w:hyperlink r:id="rId41"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7850/21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rtl w:val="true"/>
        </w:rPr>
        <w:t>דסוקי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rtl w:val="true"/>
        </w:rPr>
        <w:t>מדינת ישראל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9.6.2022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 w:cs="David"/>
          <w:rtl w:val="true"/>
        </w:rPr>
        <w:t xml:space="preserve">נדון נאשם שהורשע בחבלה בכוונה מחמירה לפי </w:t>
      </w:r>
      <w:hyperlink r:id="rId42">
        <w:r>
          <w:rPr>
            <w:rStyle w:val="Hyperlink"/>
            <w:rFonts w:ascii="David" w:hAnsi="David" w:eastAsia="David" w:cs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329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 w:cs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)(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לחוק בכך שירה לעבר המתלונן שנסע ברכבו באמצעות אקדח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שלוש יריות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אחת פגעה בירכו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לעונש מאסר מתון בן </w:t>
      </w:r>
      <w:r>
        <w:rPr>
          <w:rFonts w:eastAsia="David" w:cs="David" w:ascii="David" w:hAnsi="David"/>
        </w:rPr>
        <w:t>57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 w:cs="David"/>
          <w:rtl w:val="true"/>
        </w:rPr>
        <w:t>הכולל הפעלת תנאי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 w:cs="David"/>
          <w:rtl w:val="true"/>
        </w:rPr>
        <w:t>ערעורו נדחה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Fonts w:ascii="David" w:hAnsi="David" w:eastAsia="David" w:cs="David"/>
          <w:rtl w:val="true"/>
        </w:rPr>
        <w:t>רמת הענישה אליה עותרת ההגנה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מתחם שנע בין </w:t>
      </w:r>
      <w:r>
        <w:rPr>
          <w:rFonts w:eastAsia="David" w:cs="David" w:ascii="David" w:hAnsi="David"/>
        </w:rPr>
        <w:t>18-36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אינה מתיישבת עם מדיניות הענישה הנוהגת במעשים של ירי בכוונה לחבלה מחמירה והולמים יותר מקרים שבהם הורשעו נאשמים בנשיאת נשק וירי באוויר באזור מגורים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 w:cs="David"/>
          <w:rtl w:val="true"/>
        </w:rPr>
        <w:t xml:space="preserve">ראו לדוגמא </w:t>
      </w:r>
      <w:hyperlink r:id="rId43"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3169/21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rtl w:val="true"/>
        </w:rPr>
        <w:t>אגבריה ואח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eastAsia="David" w:cs="David" w:ascii="David" w:hAnsi="David"/>
        </w:rPr>
        <w:t>21.6.2021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 w:cs="David"/>
          <w:rtl w:val="true"/>
        </w:rPr>
        <w:t>נשיאת נשק וירי באוויר לעבר בית המתלונן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הוחמר עונשם מ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חודשי מאסר 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;. </w:t>
      </w:r>
      <w:hyperlink r:id="rId44"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1059/21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rtl w:val="true"/>
        </w:rPr>
        <w:t>פלוני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rtl w:val="true"/>
        </w:rPr>
        <w:t>מדינת ישראל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29.04.2021</w:t>
      </w:r>
      <w:r>
        <w:rPr>
          <w:rFonts w:eastAsia="David" w:cs="David" w:ascii="David" w:hAnsi="David"/>
          <w:rtl w:val="true"/>
        </w:rPr>
        <w:t xml:space="preserve">)- </w:t>
      </w:r>
      <w:r>
        <w:rPr>
          <w:rFonts w:ascii="David" w:hAnsi="David" w:eastAsia="David" w:cs="David"/>
          <w:rtl w:val="true"/>
        </w:rPr>
        <w:t>נאשם שהורשע בהחזקת אקדח גנוב וירי מספר יריות לעבר קטין עמו היה מסוכסך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 w:cs="David"/>
          <w:rtl w:val="true"/>
        </w:rPr>
        <w:t xml:space="preserve">נדון למאסר בן </w:t>
      </w:r>
      <w:r>
        <w:rPr>
          <w:rFonts w:eastAsia="David" w:cs="David" w:ascii="David" w:hAnsi="David"/>
        </w:rPr>
        <w:t>42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ערעורו נדחה</w:t>
      </w:r>
      <w:r>
        <w:rPr>
          <w:rFonts w:eastAsia="David" w:cs="David" w:ascii="David" w:hAnsi="David"/>
          <w:rtl w:val="true"/>
        </w:rPr>
        <w:t xml:space="preserve">; </w:t>
      </w:r>
      <w:hyperlink r:id="rId45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8322/21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דחלה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13.4.22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 xml:space="preserve">דחה בית המשפט העליון את ערעור המערער שנדון למאסר בן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צעיר ללא 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אשר ירה באקדח בסמוך לבתי מגורים על רקע סכסוך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המשפט המחוזי קבע מתחם ענישה הנע בין </w:t>
      </w:r>
      <w:r>
        <w:rPr>
          <w:rFonts w:cs="David" w:ascii="David" w:hAnsi="David"/>
        </w:rPr>
        <w:t>54-34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לא מצאתי לקבל את טענתו הנוספת של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לפיה יש ליתן משקל נכבד בקביעת 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לעונשו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הורשע בעבירת קשירת קשר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 יוחסה לו שותפות בעבירת הנשק והאלימות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חלקו התמצה בשלב שקדם לביצוע העבירה ועל כן נדון למאסר מתון בן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644" w:end="0"/>
        <w:contextualSpacing/>
        <w:jc w:val="both"/>
        <w:rPr/>
      </w:pPr>
      <w:r>
        <w:rPr>
          <w:rFonts w:ascii="David" w:hAnsi="David" w:cs="David"/>
          <w:b/>
          <w:b/>
          <w:bCs/>
          <w:rtl w:val="true"/>
        </w:rPr>
        <w:t>קביעת מתחם העונש ההולם בתיק שלפנינו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 w:cs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 w:cs="David"/>
          <w:rtl w:val="true"/>
        </w:rPr>
        <w:t>בה</w:t>
      </w:r>
      <w:r>
        <w:rPr>
          <w:rFonts w:ascii="David" w:hAnsi="David" w:cs="David"/>
          <w:rtl w:val="true"/>
        </w:rPr>
        <w:t>י</w:t>
      </w:r>
      <w:r>
        <w:rPr>
          <w:rFonts w:ascii="David" w:hAnsi="David" w:cs="David"/>
          <w:rtl w:val="true"/>
        </w:rPr>
        <w:t>נתן נסיבות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מדיניות הענישה הנוהגת ופגיעתו המשמעותית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אני קובעת מתחם ענישה שנע בין </w:t>
      </w:r>
      <w:r>
        <w:rPr>
          <w:rFonts w:cs="David" w:ascii="David" w:hAnsi="David"/>
          <w:b/>
          <w:bCs/>
        </w:rPr>
        <w:t>4-8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שנות מאסר</w:t>
      </w:r>
      <w:r>
        <w:rPr>
          <w:rFonts w:ascii="David" w:hAnsi="David" w:cs="David"/>
          <w:rtl w:val="true"/>
        </w:rPr>
        <w:t xml:space="preserve"> וענישה נלווית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Fonts w:ascii="David" w:hAnsi="David" w:cs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 w:cs="David"/>
          <w:rtl w:val="true"/>
        </w:rPr>
        <w:t>שהורשע בסיוע למעשים ברף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נקבע מתחם ענישה שנע בין </w:t>
      </w:r>
      <w:r>
        <w:rPr>
          <w:rFonts w:cs="David" w:ascii="David" w:hAnsi="David"/>
          <w:b/>
          <w:bCs/>
        </w:rPr>
        <w:t>2-5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644" w:end="0"/>
        <w:contextualSpacing/>
        <w:jc w:val="both"/>
        <w:rPr>
          <w:rFonts w:cs="David"/>
        </w:rPr>
      </w:pPr>
      <w:r>
        <w:rPr>
          <w:rFonts w:ascii="David" w:hAnsi="David" w:cs="David"/>
          <w:color w:val="000000"/>
          <w:rtl w:val="true"/>
        </w:rPr>
        <w:t>באשר לנסיבות הנאשמים – הנאשמים נתונים במעצר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לראשונה בחייהם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מזה כשנה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יליד</w:t>
      </w:r>
      <w:r>
        <w:rPr>
          <w:rtl w:val="true"/>
        </w:rPr>
        <w:t xml:space="preserve"> </w:t>
      </w:r>
      <w:r>
        <w:rPr>
          <w:rFonts w:cs="David"/>
        </w:rPr>
        <w:t>2000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חרטה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שסירוב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שאהב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לבקשתו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להינשא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הותירו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השפלה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וכעס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לטענתו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התנכלו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התחתונות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/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שבוצע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בהמלצה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החלטתו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לתכנן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דפוסי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בכעסים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להצטער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שהשניים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נורמטיביים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שיכלו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להניא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ממעשיו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בחרו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ונגררו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יליד</w:t>
      </w:r>
      <w:r>
        <w:rPr>
          <w:rtl w:val="true"/>
        </w:rPr>
        <w:t xml:space="preserve"> </w:t>
      </w:r>
      <w:r>
        <w:rPr>
          <w:rFonts w:cs="David"/>
        </w:rPr>
        <w:t>2002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בתסקירו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בחלקו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בהמלצה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מוחשי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644" w:end="0"/>
        <w:contextualSpacing/>
        <w:jc w:val="both"/>
        <w:rPr>
          <w:rFonts w:cs="David"/>
        </w:rPr>
      </w:pPr>
      <w:r>
        <w:rPr>
          <w:rFonts w:ascii="David" w:hAnsi="David" w:cs="David"/>
          <w:color w:val="000000"/>
          <w:rtl w:val="true"/>
        </w:rPr>
        <w:t>ההגנה מבקשת ליתן משקל ל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>הסכם פיוס</w:t>
      </w:r>
      <w:r>
        <w:rPr>
          <w:rFonts w:cs="David" w:ascii="David" w:hAnsi="David"/>
          <w:color w:val="000000"/>
          <w:rtl w:val="true"/>
        </w:rPr>
        <w:t xml:space="preserve">', </w:t>
      </w:r>
      <w:r>
        <w:rPr>
          <w:rFonts w:ascii="David" w:hAnsi="David" w:cs="David"/>
          <w:color w:val="000000"/>
          <w:rtl w:val="true"/>
        </w:rPr>
        <w:t xml:space="preserve">שנחתם ביום </w:t>
      </w:r>
      <w:r>
        <w:rPr>
          <w:rFonts w:cs="David" w:ascii="David" w:hAnsi="David"/>
          <w:color w:val="000000"/>
        </w:rPr>
        <w:t>20.11.22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ומטרתו לשים קץ לסכסוך בין המשפחות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 xml:space="preserve">יש לברך את הצדדים שעשו מאמץ לקדם הסכמה ביניהם בתיווך נכבדים מהעדה הבדואית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>על חשיבותה של הסולחה כאמצעי להשכנת שלום בין הצדדים הניציים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ראו למשל</w:t>
      </w:r>
      <w:r>
        <w:rPr>
          <w:rFonts w:cs="David" w:ascii="David" w:hAnsi="David"/>
          <w:color w:val="000000"/>
          <w:rtl w:val="true"/>
        </w:rPr>
        <w:t xml:space="preserve">: </w:t>
      </w:r>
      <w:hyperlink r:id="rId46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5998/15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rtl w:val="true"/>
        </w:rPr>
        <w:t>עקול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27.6.2019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6340/15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rtl w:val="true"/>
        </w:rPr>
        <w:t>זחאיקה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6.2.2012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 w:cs="David"/>
          <w:color w:val="000000"/>
          <w:rtl w:val="true"/>
        </w:rPr>
        <w:t>עיינתי במסמך נ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ומצאתי ליתן לו משקל מוגבל במסגרת נסיבותיו של תיק 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וזאת בשים לב לכך שנחתם יום לפני מועד הטיעונים לעונש ולא ברור טיבו ורצינותו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עוד אין בסולחה הנטענת בין הצדדים כדי להפחית מחשיבות דברים שכתבה אם המתלונן בתצהירה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644"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מצאתי למקמם בחלק התחתון של מתחם הענישה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ובראשם</w:t>
      </w:r>
      <w:r>
        <w:rPr>
          <w:rtl w:val="true"/>
        </w:rPr>
        <w:t xml:space="preserve">,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אטיל עליהם ענישה נלווית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 פיצוי למתלונן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4" w:end="0"/>
        <w:jc w:val="both"/>
        <w:rPr>
          <w:rFonts w:cs="David"/>
          <w:b/>
          <w:bCs/>
        </w:rPr>
      </w:pPr>
      <w:r>
        <w:rPr>
          <w:rFonts w:cs="David"/>
          <w:b/>
          <w:b/>
          <w:bCs/>
          <w:rtl w:val="true"/>
        </w:rPr>
        <w:t>אשר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כן</w:t>
      </w:r>
      <w:r>
        <w:rPr>
          <w:rFonts w:cs="David"/>
          <w:b/>
          <w:bCs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אני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גוזרת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הנאשמים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העונשים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הבאים</w:t>
      </w:r>
      <w:r>
        <w:rPr>
          <w:rFonts w:cs="David"/>
          <w:b/>
          <w:bCs/>
          <w:rtl w:val="true"/>
        </w:rPr>
        <w:t xml:space="preserve">: </w:t>
      </w:r>
    </w:p>
    <w:p>
      <w:pPr>
        <w:pStyle w:val="ListParagraph"/>
        <w:ind w:end="0"/>
        <w:jc w:val="start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48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/>
        <w:t>23.1.22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480"/>
        <w:ind w:hanging="360" w:start="720" w:end="0"/>
        <w:jc w:val="both"/>
        <w:rPr/>
      </w:pPr>
      <w:r>
        <w:rPr/>
        <w:t>8</w:t>
      </w:r>
      <w:r>
        <w:rPr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480"/>
        <w:ind w:hanging="360" w:start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480"/>
        <w:ind w:hanging="360" w:start="72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1.4.23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480"/>
        <w:ind w:hanging="360" w:start="720"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10.1.23</w:t>
      </w:r>
      <w:r>
        <w:rPr>
          <w:rtl w:val="true"/>
        </w:rPr>
        <w:t xml:space="preserve"> </w:t>
      </w:r>
      <w:r>
        <w:rPr>
          <w:rtl w:val="true"/>
        </w:rPr>
        <w:t>ויועבר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48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23.1.22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480"/>
        <w:ind w:hanging="360" w:start="720" w:end="0"/>
        <w:jc w:val="both"/>
        <w:rPr/>
      </w:pPr>
      <w:r>
        <w:rPr/>
        <w:t>8</w:t>
      </w:r>
      <w:r>
        <w:rPr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480"/>
        <w:ind w:hanging="360" w:start="720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480"/>
        <w:ind w:hanging="360" w:start="72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1.4.23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480"/>
        <w:ind w:hanging="360" w:start="720"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10.1.23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כסלו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9"/>
      <w:footerReference w:type="default" r:id="rId5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6961-02-22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אבו רקייק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644" w:hanging="360"/>
      </w:pPr>
      <w:rPr>
        <w:lang w:bidi="he-IL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644" w:hanging="360"/>
      </w:pPr>
      <w:rPr>
        <w:lang w:bidi="he-IL"/>
      </w:rPr>
    </w:lvl>
  </w:abstractNum>
  <w:abstractNum w:abstractNumId="3">
    <w:lvl w:ilvl="0">
      <w:start w:val="8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3z0">
    <w:name w:val="WW8Num3z0"/>
    <w:qFormat/>
    <w:rPr>
      <w:lang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cs="Times New Roman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29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29.a.2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329.a.2" TargetMode="External"/><Relationship Id="rId16" Type="http://schemas.openxmlformats.org/officeDocument/2006/relationships/hyperlink" Target="http://www.nevo.co.il/law/70301/31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31" TargetMode="External"/><Relationship Id="rId19" Type="http://schemas.openxmlformats.org/officeDocument/2006/relationships/hyperlink" Target="http://www.nevo.co.il/case/28330552" TargetMode="External"/><Relationship Id="rId20" Type="http://schemas.openxmlformats.org/officeDocument/2006/relationships/hyperlink" Target="http://www.nevo.co.il/case/28266138" TargetMode="External"/><Relationship Id="rId21" Type="http://schemas.openxmlformats.org/officeDocument/2006/relationships/hyperlink" Target="http://www.nevo.co.il/case/28384637" TargetMode="External"/><Relationship Id="rId22" Type="http://schemas.openxmlformats.org/officeDocument/2006/relationships/hyperlink" Target="http://www.nevo.co.il/case/27603872" TargetMode="External"/><Relationship Id="rId23" Type="http://schemas.openxmlformats.org/officeDocument/2006/relationships/hyperlink" Target="http://www.nevo.co.il/law/70301/329.a.2" TargetMode="External"/><Relationship Id="rId24" Type="http://schemas.openxmlformats.org/officeDocument/2006/relationships/hyperlink" Target="http://www.nevo.co.il/case/8483970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0291305" TargetMode="External"/><Relationship Id="rId27" Type="http://schemas.openxmlformats.org/officeDocument/2006/relationships/hyperlink" Target="http://www.nevo.co.il/case/5977441" TargetMode="External"/><Relationship Id="rId28" Type="http://schemas.openxmlformats.org/officeDocument/2006/relationships/hyperlink" Target="http://www.nevo.co.il/law/70301/329" TargetMode="External"/><Relationship Id="rId29" Type="http://schemas.openxmlformats.org/officeDocument/2006/relationships/hyperlink" Target="http://www.nevo.co.il/case/21472824" TargetMode="External"/><Relationship Id="rId30" Type="http://schemas.openxmlformats.org/officeDocument/2006/relationships/hyperlink" Target="http://www.nevo.co.il/case/6045465" TargetMode="External"/><Relationship Id="rId31" Type="http://schemas.openxmlformats.org/officeDocument/2006/relationships/hyperlink" Target="http://www.nevo.co.il/law/70301/329.a.2" TargetMode="External"/><Relationship Id="rId32" Type="http://schemas.openxmlformats.org/officeDocument/2006/relationships/hyperlink" Target="http://www.nevo.co.il/case/27933514" TargetMode="External"/><Relationship Id="rId33" Type="http://schemas.openxmlformats.org/officeDocument/2006/relationships/hyperlink" Target="http://www.nevo.co.il/case/5172636" TargetMode="External"/><Relationship Id="rId34" Type="http://schemas.openxmlformats.org/officeDocument/2006/relationships/hyperlink" Target="http://www.nevo.co.il/case/21472459" TargetMode="External"/><Relationship Id="rId35" Type="http://schemas.openxmlformats.org/officeDocument/2006/relationships/hyperlink" Target="http://www.nevo.co.il/case/25824863" TargetMode="External"/><Relationship Id="rId36" Type="http://schemas.openxmlformats.org/officeDocument/2006/relationships/hyperlink" Target="http://www.nevo.co.il/case/17980895" TargetMode="External"/><Relationship Id="rId37" Type="http://schemas.openxmlformats.org/officeDocument/2006/relationships/hyperlink" Target="http://www.nevo.co.il/case/28883087" TargetMode="External"/><Relationship Id="rId38" Type="http://schemas.openxmlformats.org/officeDocument/2006/relationships/hyperlink" Target="http://www.nevo.co.il/case/18041261" TargetMode="External"/><Relationship Id="rId39" Type="http://schemas.openxmlformats.org/officeDocument/2006/relationships/hyperlink" Target="http://www.nevo.co.il/law/70301/333" TargetMode="External"/><Relationship Id="rId40" Type="http://schemas.openxmlformats.org/officeDocument/2006/relationships/hyperlink" Target="http://www.nevo.co.il/law/70301/335.a.1" TargetMode="External"/><Relationship Id="rId41" Type="http://schemas.openxmlformats.org/officeDocument/2006/relationships/hyperlink" Target="http://www.nevo.co.il/case/28096675" TargetMode="External"/><Relationship Id="rId42" Type="http://schemas.openxmlformats.org/officeDocument/2006/relationships/hyperlink" Target="http://www.nevo.co.il/law/70301/329.a.1" TargetMode="External"/><Relationship Id="rId43" Type="http://schemas.openxmlformats.org/officeDocument/2006/relationships/hyperlink" Target="http://www.nevo.co.il/case/27603872" TargetMode="External"/><Relationship Id="rId44" Type="http://schemas.openxmlformats.org/officeDocument/2006/relationships/hyperlink" Target="http://www.nevo.co.il/case/27404359" TargetMode="External"/><Relationship Id="rId45" Type="http://schemas.openxmlformats.org/officeDocument/2006/relationships/hyperlink" Target="http://www.nevo.co.il/case/28152125" TargetMode="External"/><Relationship Id="rId46" Type="http://schemas.openxmlformats.org/officeDocument/2006/relationships/hyperlink" Target="http://www.nevo.co.il/case/21472945" TargetMode="External"/><Relationship Id="rId47" Type="http://schemas.openxmlformats.org/officeDocument/2006/relationships/hyperlink" Target="http://www.nevo.co.il/case/20593861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2024-05-05T08:35:00Z</dcterms:created>
  <dc:creator> </dc:creator>
  <dc:description/>
  <cp:keywords/>
  <dc:language>en-IL</dc:language>
  <cp:lastModifiedBy>h1</cp:lastModifiedBy>
  <dcterms:modified xsi:type="dcterms:W3CDTF">2024-05-05T08:35:00Z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אבו רקייק;עיסאם אבו רקייק;אמיר אבו רקייק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28330552;28266138;28384637;27603872:2;8483970;20291305;5977441;21472824;6045465;27933514;5172636;21472459;25824863;17980895;28883087;18041261;28096675;27404359;28152125;21472945;20593861</vt:lpwstr>
  </property>
  <property fmtid="{D5CDD505-2E9C-101B-9397-08002B2CF9AE}" pid="9" name="CITY">
    <vt:lpwstr>מרכז</vt:lpwstr>
  </property>
  <property fmtid="{D5CDD505-2E9C-101B-9397-08002B2CF9AE}" pid="10" name="DATE">
    <vt:lpwstr>20221212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70301/499.a.1;329.a.2:4;144.b:2;031:2;329;333;335.a.1;329.a.1</vt:lpwstr>
  </property>
  <property fmtid="{D5CDD505-2E9C-101B-9397-08002B2CF9AE}" pid="15" name="LAWYER">
    <vt:lpwstr>ליטל שירי;וואליד כבוב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6961</vt:lpwstr>
  </property>
  <property fmtid="{D5CDD505-2E9C-101B-9397-08002B2CF9AE}" pid="22" name="NEWPARTB">
    <vt:lpwstr>02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390020221212</vt:lpwstr>
  </property>
  <property fmtid="{D5CDD505-2E9C-101B-9397-08002B2CF9AE}" pid="34" name="TYPE_N_DATE">
    <vt:lpwstr>39020221212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