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1"/>
        <w:gridCol w:w="3670"/>
      </w:tblGrid>
      <w:tr>
        <w:trPr>
          <w:trHeight w:val="418" w:hRule="exact"/>
        </w:trPr>
        <w:tc>
          <w:tcPr>
            <w:tcW w:w="8721" w:type="dxa"/>
            <w:gridSpan w:val="2"/>
            <w:tcBorders/>
          </w:tcPr>
          <w:p>
            <w:pPr>
              <w:pStyle w:val="Header"/>
              <w:ind w:end="0"/>
              <w:jc w:val="center"/>
              <w:rPr>
                <w:rFonts w:ascii="Tahoma" w:hAnsi="Tahoma" w:cs="Tahoma"/>
                <w:color w:val="000080"/>
                <w:sz w:val="32"/>
                <w:szCs w:val="32"/>
              </w:rPr>
            </w:pPr>
            <w:bookmarkStart w:id="0" w:name="LastJudge"/>
            <w:bookmarkEnd w:id="0"/>
            <w:r>
              <w:rPr>
                <w:rFonts w:ascii="Tahoma" w:hAnsi="Tahoma" w:cs="Tahoma"/>
                <w:b/>
                <w:b/>
                <w:bCs/>
                <w:color w:val="000080"/>
                <w:sz w:val="32"/>
                <w:sz w:val="32"/>
                <w:szCs w:val="32"/>
                <w:rtl w:val="true"/>
              </w:rPr>
              <w:t xml:space="preserve">בית המשפט המחוזי בתל אביב </w:t>
            </w:r>
            <w:r>
              <w:rPr>
                <w:rFonts w:cs="Tahoma" w:ascii="Tahoma" w:hAnsi="Tahoma"/>
                <w:b/>
                <w:bCs/>
                <w:color w:val="000080"/>
                <w:sz w:val="32"/>
                <w:szCs w:val="32"/>
                <w:rtl w:val="true"/>
              </w:rPr>
              <w:t xml:space="preserve">- </w:t>
            </w:r>
            <w:r>
              <w:rPr>
                <w:rFonts w:ascii="Tahoma" w:hAnsi="Tahoma" w:cs="Tahoma"/>
                <w:b/>
                <w:b/>
                <w:bCs/>
                <w:color w:val="000080"/>
                <w:sz w:val="32"/>
                <w:sz w:val="32"/>
                <w:szCs w:val="32"/>
                <w:rtl w:val="true"/>
              </w:rPr>
              <w:t>יפו</w:t>
            </w:r>
          </w:p>
        </w:tc>
      </w:tr>
      <w:tr>
        <w:trPr>
          <w:trHeight w:val="337" w:hRule="atLeast"/>
        </w:trPr>
        <w:tc>
          <w:tcPr>
            <w:tcW w:w="5051" w:type="dxa"/>
            <w:tcBorders/>
          </w:tcPr>
          <w:p>
            <w:pPr>
              <w:pStyle w:val="Normal"/>
              <w:ind w:end="0"/>
              <w:jc w:val="start"/>
              <w:rPr/>
            </w:pPr>
            <w:r>
              <w:rPr>
                <w:sz w:val="26"/>
                <w:sz w:val="26"/>
                <w:szCs w:val="26"/>
                <w:rtl w:val="true"/>
              </w:rPr>
              <w:t>ת</w:t>
            </w:r>
            <w:r>
              <w:rPr>
                <w:sz w:val="26"/>
                <w:szCs w:val="26"/>
                <w:rtl w:val="true"/>
              </w:rPr>
              <w:t>"</w:t>
            </w:r>
            <w:r>
              <w:rPr>
                <w:sz w:val="26"/>
                <w:sz w:val="26"/>
                <w:szCs w:val="26"/>
                <w:rtl w:val="true"/>
              </w:rPr>
              <w:t>פ</w:t>
            </w:r>
            <w:r>
              <w:rPr>
                <w:rFonts w:cs="Times New Roman"/>
                <w:sz w:val="26"/>
                <w:sz w:val="26"/>
                <w:szCs w:val="26"/>
                <w:rtl w:val="true"/>
              </w:rPr>
              <w:t xml:space="preserve"> </w:t>
            </w:r>
            <w:r>
              <w:rPr>
                <w:sz w:val="26"/>
                <w:szCs w:val="26"/>
              </w:rPr>
              <w:t>69643-05-18</w:t>
            </w:r>
            <w:r>
              <w:rPr>
                <w:sz w:val="26"/>
                <w:szCs w:val="26"/>
                <w:rtl w:val="true"/>
              </w:rPr>
              <w:t xml:space="preserve"> </w:t>
            </w:r>
            <w:r>
              <w:rPr>
                <w:sz w:val="26"/>
                <w:sz w:val="26"/>
                <w:szCs w:val="26"/>
                <w:rtl w:val="true"/>
              </w:rPr>
              <w:t>מדינת</w:t>
            </w:r>
            <w:r>
              <w:rPr>
                <w:rFonts w:cs="Times New Roman"/>
                <w:sz w:val="26"/>
                <w:sz w:val="26"/>
                <w:szCs w:val="26"/>
                <w:rtl w:val="true"/>
              </w:rPr>
              <w:t xml:space="preserve"> </w:t>
            </w:r>
            <w:r>
              <w:rPr>
                <w:sz w:val="26"/>
                <w:sz w:val="26"/>
                <w:szCs w:val="26"/>
                <w:rtl w:val="true"/>
              </w:rPr>
              <w:t>ישראל</w:t>
            </w:r>
            <w:r>
              <w:rPr>
                <w:rFonts w:cs="Times New Roman"/>
                <w:sz w:val="26"/>
                <w:sz w:val="26"/>
                <w:szCs w:val="26"/>
                <w:rtl w:val="true"/>
              </w:rPr>
              <w:t xml:space="preserve"> </w:t>
            </w:r>
            <w:r>
              <w:rPr>
                <w:sz w:val="26"/>
                <w:sz w:val="26"/>
                <w:szCs w:val="26"/>
                <w:rtl w:val="true"/>
              </w:rPr>
              <w:t>נ</w:t>
            </w:r>
            <w:r>
              <w:rPr>
                <w:sz w:val="26"/>
                <w:szCs w:val="26"/>
                <w:rtl w:val="true"/>
              </w:rPr>
              <w:t xml:space="preserve">' </w:t>
            </w:r>
            <w:r>
              <w:rPr>
                <w:sz w:val="26"/>
                <w:sz w:val="26"/>
                <w:szCs w:val="26"/>
                <w:rtl w:val="true"/>
              </w:rPr>
              <w:t>תורכ</w:t>
            </w:r>
            <w:r>
              <w:rPr>
                <w:sz w:val="26"/>
                <w:szCs w:val="26"/>
                <w:rtl w:val="true"/>
              </w:rPr>
              <w:t>(</w:t>
            </w:r>
            <w:r>
              <w:rPr>
                <w:sz w:val="26"/>
                <w:sz w:val="26"/>
                <w:szCs w:val="26"/>
                <w:rtl w:val="true"/>
              </w:rPr>
              <w:t>עציר</w:t>
            </w:r>
            <w:r>
              <w:rPr>
                <w:sz w:val="26"/>
                <w:szCs w:val="26"/>
                <w:rtl w:val="true"/>
              </w:rPr>
              <w:t xml:space="preserve">) </w:t>
            </w:r>
            <w:r>
              <w:rPr>
                <w:sz w:val="26"/>
                <w:sz w:val="26"/>
                <w:szCs w:val="26"/>
                <w:rtl w:val="true"/>
              </w:rPr>
              <w:t>ואח</w:t>
            </w:r>
            <w:r>
              <w:rPr>
                <w:sz w:val="26"/>
                <w:szCs w:val="26"/>
                <w:rtl w:val="true"/>
              </w:rPr>
              <w:t>'</w:t>
            </w:r>
          </w:p>
          <w:p>
            <w:pPr>
              <w:pStyle w:val="Header"/>
              <w:ind w:end="0"/>
              <w:jc w:val="start"/>
              <w:rPr>
                <w:rFonts w:cs="FrankRuehl"/>
                <w:sz w:val="28"/>
                <w:szCs w:val="28"/>
              </w:rPr>
            </w:pPr>
            <w:r>
              <w:rPr>
                <w:rFonts w:cs="FrankRuehl"/>
                <w:sz w:val="28"/>
                <w:szCs w:val="28"/>
                <w:rtl w:val="true"/>
              </w:rPr>
            </w:r>
          </w:p>
        </w:tc>
        <w:tc>
          <w:tcPr>
            <w:tcW w:w="3670" w:type="dxa"/>
            <w:tcBorders/>
          </w:tcPr>
          <w:p>
            <w:pPr>
              <w:pStyle w:val="Header"/>
              <w:ind w:end="0"/>
              <w:jc w:val="end"/>
              <w:rPr>
                <w:rFonts w:cs="FrankRuehl"/>
                <w:sz w:val="28"/>
                <w:szCs w:val="28"/>
              </w:rPr>
            </w:pPr>
            <w:r>
              <w:rPr>
                <w:rFonts w:cs="FrankRuehl"/>
                <w:sz w:val="28"/>
                <w:szCs w:val="28"/>
              </w:rPr>
              <w:t>11</w:t>
            </w:r>
            <w:r>
              <w:rPr>
                <w:rFonts w:cs="FrankRuehl"/>
                <w:sz w:val="28"/>
                <w:szCs w:val="28"/>
                <w:rtl w:val="true"/>
              </w:rPr>
              <w:t xml:space="preserve"> </w:t>
            </w:r>
            <w:r>
              <w:rPr>
                <w:rFonts w:cs="FrankRuehl"/>
                <w:sz w:val="28"/>
                <w:sz w:val="28"/>
                <w:szCs w:val="28"/>
                <w:rtl w:val="true"/>
              </w:rPr>
              <w:t>בינואר</w:t>
            </w:r>
            <w:r>
              <w:rPr>
                <w:rFonts w:cs="Times New Roman"/>
                <w:sz w:val="28"/>
                <w:sz w:val="28"/>
                <w:szCs w:val="28"/>
                <w:rtl w:val="true"/>
              </w:rPr>
              <w:t xml:space="preserve"> </w:t>
            </w:r>
            <w:r>
              <w:rPr>
                <w:rFonts w:cs="FrankRuehl"/>
                <w:sz w:val="28"/>
                <w:szCs w:val="28"/>
              </w:rPr>
              <w:t>2021</w:t>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1195"/>
        <w:gridCol w:w="4263"/>
        <w:gridCol w:w="3362"/>
      </w:tblGrid>
      <w:tr>
        <w:trPr>
          <w:trHeight w:val="295" w:hRule="atLeast"/>
        </w:trPr>
        <w:tc>
          <w:tcPr>
            <w:tcW w:w="1195" w:type="dxa"/>
            <w:tcBorders/>
          </w:tcPr>
          <w:p>
            <w:pPr>
              <w:pStyle w:val="Normal"/>
              <w:ind w:end="0"/>
              <w:jc w:val="both"/>
              <w:rPr>
                <w:rFonts w:ascii="Arial" w:hAnsi="Arial" w:cs="Arial"/>
                <w:b/>
                <w:bCs/>
                <w:sz w:val="26"/>
                <w:szCs w:val="26"/>
              </w:rPr>
            </w:pPr>
            <w:r>
              <w:rPr>
                <w:rFonts w:ascii="Arial" w:hAnsi="Arial" w:cs="Arial"/>
                <w:b/>
                <w:b/>
                <w:bCs/>
                <w:sz w:val="26"/>
                <w:sz w:val="26"/>
                <w:szCs w:val="26"/>
                <w:rtl w:val="true"/>
              </w:rPr>
              <w:t>ל</w:t>
            </w:r>
            <w:r>
              <w:rPr>
                <w:rFonts w:ascii="Arial" w:hAnsi="Arial" w:cs="Arial"/>
                <w:b/>
                <w:b/>
                <w:bCs/>
                <w:sz w:val="26"/>
                <w:sz w:val="26"/>
                <w:szCs w:val="26"/>
                <w:rtl w:val="true"/>
              </w:rPr>
              <w:t xml:space="preserve">פני </w:t>
            </w:r>
          </w:p>
        </w:tc>
        <w:tc>
          <w:tcPr>
            <w:tcW w:w="7625" w:type="dxa"/>
            <w:gridSpan w:val="2"/>
            <w:tcBorders/>
          </w:tcPr>
          <w:p>
            <w:pPr>
              <w:pStyle w:val="Normal"/>
              <w:ind w:end="0"/>
              <w:jc w:val="start"/>
              <w:rPr/>
            </w:pPr>
            <w:r>
              <w:rPr>
                <w:rFonts w:ascii="Arial" w:hAnsi="Arial" w:cs="Arial"/>
                <w:b/>
                <w:b/>
                <w:bCs/>
                <w:sz w:val="26"/>
                <w:sz w:val="26"/>
                <w:szCs w:val="26"/>
                <w:rtl w:val="true"/>
              </w:rPr>
              <w:t>כבוד ה</w:t>
            </w:r>
            <w:r>
              <w:rPr>
                <w:rFonts w:ascii="Arial" w:hAnsi="Arial" w:cs="Arial"/>
                <w:b/>
                <w:b/>
                <w:bCs/>
                <w:sz w:val="26"/>
                <w:sz w:val="26"/>
                <w:szCs w:val="26"/>
                <w:rtl w:val="true"/>
              </w:rPr>
              <w:t>שופטת עמיתה</w:t>
            </w:r>
            <w:r>
              <w:rPr>
                <w:rFonts w:ascii="Arial" w:hAnsi="Arial" w:cs="Arial"/>
                <w:b/>
                <w:b/>
                <w:bCs/>
                <w:sz w:val="26"/>
                <w:sz w:val="26"/>
                <w:szCs w:val="26"/>
                <w:rtl w:val="true"/>
              </w:rPr>
              <w:t xml:space="preserve">  </w:t>
            </w:r>
            <w:r>
              <w:rPr>
                <w:rFonts w:ascii="Arial" w:hAnsi="Arial" w:cs="Arial"/>
                <w:b/>
                <w:b/>
                <w:bCs/>
                <w:sz w:val="26"/>
                <w:sz w:val="26"/>
                <w:szCs w:val="26"/>
                <w:rtl w:val="true"/>
              </w:rPr>
              <w:t>מרים דיסקין</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both"/>
              <w:rPr>
                <w:rFonts w:ascii="Arial" w:hAnsi="Arial" w:cs="Arial"/>
                <w:sz w:val="26"/>
                <w:szCs w:val="26"/>
              </w:rPr>
            </w:pPr>
            <w:r>
              <w:rPr>
                <w:rFonts w:cs="Arial" w:ascii="Arial" w:hAnsi="Arial"/>
                <w:sz w:val="26"/>
                <w:szCs w:val="26"/>
                <w:rtl w:val="true"/>
              </w:rPr>
            </w:r>
          </w:p>
        </w:tc>
      </w:tr>
      <w:tr>
        <w:trPr>
          <w:trHeight w:val="355" w:hRule="atLeast"/>
        </w:trPr>
        <w:tc>
          <w:tcPr>
            <w:tcW w:w="1195" w:type="dxa"/>
            <w:tcBorders/>
          </w:tcPr>
          <w:p>
            <w:pPr>
              <w:pStyle w:val="Normal"/>
              <w:ind w:end="0"/>
              <w:jc w:val="both"/>
              <w:rPr>
                <w:rFonts w:ascii="Arial" w:hAnsi="Arial" w:cs="Arial"/>
                <w:b/>
                <w:bCs/>
                <w:sz w:val="26"/>
                <w:szCs w:val="26"/>
              </w:rPr>
            </w:pPr>
            <w:bookmarkStart w:id="1" w:name="FirstLawyer"/>
            <w:bookmarkStart w:id="2" w:name="FirstAppellant"/>
            <w:bookmarkEnd w:id="1"/>
            <w:bookmarkEnd w:id="2"/>
            <w:r>
              <w:rPr>
                <w:rFonts w:ascii="Arial" w:hAnsi="Arial" w:cs="Arial"/>
                <w:sz w:val="26"/>
                <w:sz w:val="26"/>
                <w:szCs w:val="26"/>
                <w:rtl w:val="true"/>
              </w:rPr>
              <w:t>ה</w:t>
            </w:r>
            <w:r>
              <w:rPr>
                <w:rFonts w:ascii="Arial" w:hAnsi="Arial" w:cs="Arial"/>
                <w:sz w:val="26"/>
                <w:sz w:val="26"/>
                <w:szCs w:val="26"/>
                <w:rtl w:val="true"/>
              </w:rPr>
              <w:t>מאשימה</w:t>
            </w:r>
          </w:p>
        </w:tc>
        <w:tc>
          <w:tcPr>
            <w:tcW w:w="4263" w:type="dxa"/>
            <w:tcBorders/>
          </w:tcPr>
          <w:p>
            <w:pPr>
              <w:pStyle w:val="Normal"/>
              <w:ind w:end="0"/>
              <w:jc w:val="start"/>
              <w:rPr>
                <w:sz w:val="26"/>
                <w:szCs w:val="26"/>
              </w:rPr>
            </w:pPr>
            <w:r>
              <w:rPr>
                <w:rFonts w:ascii="Arial" w:hAnsi="Arial" w:cs="Arial"/>
                <w:sz w:val="26"/>
                <w:sz w:val="26"/>
                <w:szCs w:val="26"/>
                <w:rtl w:val="true"/>
              </w:rPr>
              <w:t>מדינת ישראל</w:t>
            </w:r>
          </w:p>
          <w:p>
            <w:pPr>
              <w:pStyle w:val="Normal"/>
              <w:ind w:end="0"/>
              <w:jc w:val="start"/>
              <w:rPr>
                <w:sz w:val="26"/>
                <w:szCs w:val="26"/>
              </w:rPr>
            </w:pPr>
            <w:r>
              <w:rPr>
                <w:sz w:val="26"/>
                <w:sz w:val="26"/>
                <w:szCs w:val="26"/>
                <w:rtl w:val="true"/>
              </w:rPr>
              <w:t>ע</w:t>
            </w:r>
            <w:r>
              <w:rPr>
                <w:sz w:val="26"/>
                <w:szCs w:val="26"/>
                <w:rtl w:val="true"/>
              </w:rPr>
              <w:t>"</w:t>
            </w:r>
            <w:r>
              <w:rPr>
                <w:sz w:val="26"/>
                <w:sz w:val="26"/>
                <w:szCs w:val="26"/>
                <w:rtl w:val="true"/>
              </w:rPr>
              <w:t>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ראזי</w:t>
            </w:r>
            <w:r>
              <w:rPr>
                <w:rFonts w:cs="Times New Roman"/>
                <w:sz w:val="26"/>
                <w:sz w:val="26"/>
                <w:szCs w:val="26"/>
                <w:rtl w:val="true"/>
              </w:rPr>
              <w:t xml:space="preserve"> </w:t>
            </w:r>
            <w:r>
              <w:rPr>
                <w:sz w:val="26"/>
                <w:sz w:val="26"/>
                <w:szCs w:val="26"/>
                <w:rtl w:val="true"/>
              </w:rPr>
              <w:t>מחמיד</w:t>
            </w:r>
          </w:p>
        </w:tc>
        <w:tc>
          <w:tcPr>
            <w:tcW w:w="3362" w:type="dxa"/>
            <w:tcBorders/>
          </w:tcPr>
          <w:p>
            <w:pPr>
              <w:pStyle w:val="Normal"/>
              <w:snapToGrid w:val="false"/>
              <w:ind w:end="0"/>
              <w:jc w:val="both"/>
              <w:rPr>
                <w:rFonts w:ascii="Arial" w:hAnsi="Arial" w:cs="Arial"/>
                <w:sz w:val="26"/>
                <w:szCs w:val="26"/>
              </w:rPr>
            </w:pPr>
            <w:r>
              <w:rPr>
                <w:rFonts w:cs="Arial" w:ascii="Arial" w:hAnsi="Arial"/>
                <w:sz w:val="26"/>
                <w:szCs w:val="26"/>
                <w:rtl w:val="true"/>
              </w:rPr>
            </w:r>
          </w:p>
        </w:tc>
      </w:tr>
      <w:tr>
        <w:trPr>
          <w:trHeight w:val="355" w:hRule="atLeast"/>
        </w:trPr>
        <w:tc>
          <w:tcPr>
            <w:tcW w:w="1195" w:type="dxa"/>
            <w:tcBorders/>
          </w:tcPr>
          <w:p>
            <w:pPr>
              <w:pStyle w:val="Normal"/>
              <w:snapToGrid w:val="false"/>
              <w:ind w:end="0"/>
              <w:jc w:val="both"/>
              <w:rPr>
                <w:rFonts w:ascii="Arial" w:hAnsi="Arial" w:cs="Arial"/>
                <w:sz w:val="26"/>
                <w:szCs w:val="26"/>
              </w:rPr>
            </w:pPr>
            <w:r>
              <w:rPr>
                <w:rFonts w:cs="Arial" w:ascii="Arial" w:hAnsi="Arial"/>
                <w:sz w:val="26"/>
                <w:szCs w:val="26"/>
                <w:rtl w:val="true"/>
              </w:rPr>
            </w:r>
          </w:p>
        </w:tc>
        <w:tc>
          <w:tcPr>
            <w:tcW w:w="4263" w:type="dxa"/>
            <w:tcBorders/>
          </w:tcPr>
          <w:p>
            <w:pPr>
              <w:pStyle w:val="Normal"/>
              <w:snapToGrid w:val="false"/>
              <w:ind w:end="0"/>
              <w:jc w:val="start"/>
              <w:rPr>
                <w:rFonts w:ascii="Arial" w:hAnsi="Arial" w:cs="Arial"/>
                <w:sz w:val="26"/>
                <w:szCs w:val="26"/>
              </w:rPr>
            </w:pPr>
            <w:r>
              <w:rPr>
                <w:rFonts w:cs="Arial" w:ascii="Arial" w:hAnsi="Arial"/>
                <w:sz w:val="26"/>
                <w:szCs w:val="26"/>
                <w:rtl w:val="true"/>
              </w:rPr>
            </w:r>
          </w:p>
        </w:tc>
        <w:tc>
          <w:tcPr>
            <w:tcW w:w="3362" w:type="dxa"/>
            <w:tcBorders/>
          </w:tcPr>
          <w:p>
            <w:pPr>
              <w:pStyle w:val="Normal"/>
              <w:snapToGrid w:val="false"/>
              <w:ind w:end="0"/>
              <w:jc w:val="end"/>
              <w:rPr>
                <w:rFonts w:ascii="Arial" w:hAnsi="Arial" w:cs="Arial"/>
                <w:sz w:val="26"/>
                <w:szCs w:val="26"/>
              </w:rPr>
            </w:pPr>
            <w:r>
              <w:rPr>
                <w:rFonts w:cs="Arial" w:ascii="Arial" w:hAnsi="Arial"/>
                <w:sz w:val="26"/>
                <w:szCs w:val="26"/>
                <w:rtl w:val="true"/>
              </w:rPr>
            </w:r>
          </w:p>
        </w:tc>
      </w:tr>
      <w:tr>
        <w:trPr>
          <w:trHeight w:val="355" w:hRule="atLeast"/>
        </w:trPr>
        <w:tc>
          <w:tcPr>
            <w:tcW w:w="1195" w:type="dxa"/>
            <w:tcBorders/>
          </w:tcPr>
          <w:p>
            <w:pPr>
              <w:pStyle w:val="Normal"/>
              <w:snapToGrid w:val="false"/>
              <w:ind w:end="0"/>
              <w:jc w:val="both"/>
              <w:rPr>
                <w:rFonts w:ascii="Arial" w:hAnsi="Arial" w:cs="Arial"/>
                <w:sz w:val="26"/>
                <w:szCs w:val="26"/>
              </w:rPr>
            </w:pPr>
            <w:r>
              <w:rPr>
                <w:rFonts w:cs="Arial" w:ascii="Arial" w:hAnsi="Arial"/>
                <w:sz w:val="26"/>
                <w:szCs w:val="26"/>
                <w:rtl w:val="true"/>
              </w:rPr>
            </w:r>
          </w:p>
        </w:tc>
        <w:tc>
          <w:tcPr>
            <w:tcW w:w="7625" w:type="dxa"/>
            <w:gridSpan w:val="2"/>
            <w:tcBorders/>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both"/>
              <w:rPr>
                <w:rFonts w:ascii="Arial" w:hAnsi="Arial" w:cs="Arial"/>
                <w:b/>
                <w:bCs/>
                <w:sz w:val="26"/>
                <w:szCs w:val="26"/>
              </w:rPr>
            </w:pPr>
            <w:r>
              <w:rPr>
                <w:rFonts w:cs="Arial" w:ascii="Arial" w:hAnsi="Arial"/>
                <w:b/>
                <w:bCs/>
                <w:sz w:val="26"/>
                <w:szCs w:val="26"/>
                <w:rtl w:val="true"/>
              </w:rPr>
            </w:r>
          </w:p>
        </w:tc>
      </w:tr>
      <w:tr>
        <w:trPr>
          <w:trHeight w:val="355" w:hRule="atLeast"/>
        </w:trPr>
        <w:tc>
          <w:tcPr>
            <w:tcW w:w="1195" w:type="dxa"/>
            <w:tcBorders/>
          </w:tcPr>
          <w:p>
            <w:pPr>
              <w:pStyle w:val="Normal"/>
              <w:ind w:end="0"/>
              <w:jc w:val="start"/>
              <w:rPr/>
            </w:pPr>
            <w:r>
              <w:rPr>
                <w:rFonts w:ascii="Arial" w:hAnsi="Arial" w:cs="Arial"/>
                <w:sz w:val="26"/>
                <w:sz w:val="26"/>
                <w:szCs w:val="26"/>
                <w:rtl w:val="true"/>
              </w:rPr>
              <w:t>ה</w:t>
            </w:r>
            <w:r>
              <w:rPr>
                <w:rFonts w:ascii="Arial" w:hAnsi="Arial" w:cs="Arial"/>
                <w:sz w:val="26"/>
                <w:sz w:val="26"/>
                <w:szCs w:val="26"/>
                <w:rtl w:val="true"/>
              </w:rPr>
              <w:t>נאשמים</w:t>
            </w:r>
          </w:p>
        </w:tc>
        <w:tc>
          <w:tcPr>
            <w:tcW w:w="4263" w:type="dxa"/>
            <w:tcBorders/>
          </w:tcPr>
          <w:p>
            <w:pPr>
              <w:pStyle w:val="Normal"/>
              <w:ind w:end="0"/>
              <w:jc w:val="start"/>
              <w:rPr>
                <w:sz w:val="26"/>
                <w:szCs w:val="26"/>
              </w:rPr>
            </w:pPr>
            <w:r>
              <w:rPr>
                <w:rFonts w:cs="Arial" w:ascii="Arial" w:hAnsi="Arial"/>
                <w:sz w:val="26"/>
                <w:szCs w:val="26"/>
              </w:rPr>
              <w:t>1</w:t>
            </w:r>
            <w:r>
              <w:rPr>
                <w:rFonts w:cs="Arial" w:ascii="Arial" w:hAnsi="Arial"/>
                <w:sz w:val="26"/>
                <w:szCs w:val="26"/>
                <w:rtl w:val="true"/>
              </w:rPr>
              <w:t>.</w:t>
            </w:r>
            <w:r>
              <w:rPr>
                <w:rFonts w:ascii="Arial" w:hAnsi="Arial" w:cs="Arial"/>
                <w:sz w:val="26"/>
                <w:sz w:val="26"/>
                <w:szCs w:val="26"/>
                <w:rtl w:val="true"/>
              </w:rPr>
              <w:t xml:space="preserve">מוסלח תורכ </w:t>
            </w:r>
            <w:r>
              <w:rPr>
                <w:rFonts w:cs="Arial" w:ascii="Arial" w:hAnsi="Arial"/>
                <w:sz w:val="26"/>
                <w:szCs w:val="26"/>
                <w:rtl w:val="true"/>
              </w:rPr>
              <w:t>(</w:t>
            </w:r>
            <w:r>
              <w:rPr>
                <w:rFonts w:ascii="Arial" w:hAnsi="Arial" w:cs="Arial"/>
                <w:sz w:val="26"/>
                <w:sz w:val="26"/>
                <w:szCs w:val="26"/>
                <w:rtl w:val="true"/>
              </w:rPr>
              <w:t>עציר</w:t>
            </w:r>
            <w:r>
              <w:rPr>
                <w:rFonts w:cs="Arial" w:ascii="Arial" w:hAnsi="Arial"/>
                <w:sz w:val="26"/>
                <w:szCs w:val="26"/>
                <w:rtl w:val="true"/>
              </w:rPr>
              <w:t>)</w:t>
            </w:r>
          </w:p>
          <w:p>
            <w:pPr>
              <w:pStyle w:val="Normal"/>
              <w:ind w:end="0"/>
              <w:jc w:val="start"/>
              <w:rPr>
                <w:sz w:val="26"/>
                <w:szCs w:val="26"/>
              </w:rPr>
            </w:pPr>
            <w:r>
              <w:rPr>
                <w:rFonts w:cs="Arial" w:ascii="Arial" w:hAnsi="Arial"/>
                <w:sz w:val="26"/>
                <w:szCs w:val="26"/>
              </w:rPr>
              <w:t>2</w:t>
            </w:r>
            <w:r>
              <w:rPr>
                <w:rFonts w:cs="Arial" w:ascii="Arial" w:hAnsi="Arial"/>
                <w:sz w:val="26"/>
                <w:szCs w:val="26"/>
                <w:rtl w:val="true"/>
              </w:rPr>
              <w:t>.</w:t>
            </w:r>
            <w:r>
              <w:rPr>
                <w:rFonts w:ascii="Arial" w:hAnsi="Arial" w:cs="Arial"/>
                <w:sz w:val="26"/>
                <w:sz w:val="26"/>
                <w:szCs w:val="26"/>
                <w:rtl w:val="true"/>
              </w:rPr>
              <w:t xml:space="preserve">נאדר תורכ </w:t>
            </w:r>
            <w:r>
              <w:rPr>
                <w:rFonts w:cs="Arial" w:ascii="Arial" w:hAnsi="Arial"/>
                <w:sz w:val="26"/>
                <w:szCs w:val="26"/>
                <w:rtl w:val="true"/>
              </w:rPr>
              <w:t>(</w:t>
            </w:r>
            <w:r>
              <w:rPr>
                <w:rFonts w:ascii="Arial" w:hAnsi="Arial" w:cs="Arial"/>
                <w:sz w:val="26"/>
                <w:sz w:val="26"/>
                <w:szCs w:val="26"/>
                <w:rtl w:val="true"/>
              </w:rPr>
              <w:t>עציר</w:t>
            </w:r>
            <w:r>
              <w:rPr>
                <w:rFonts w:cs="Arial" w:ascii="Arial" w:hAnsi="Arial"/>
                <w:sz w:val="26"/>
                <w:szCs w:val="26"/>
                <w:rtl w:val="true"/>
              </w:rPr>
              <w:t>)</w:t>
            </w:r>
          </w:p>
          <w:p>
            <w:pPr>
              <w:pStyle w:val="Normal"/>
              <w:ind w:end="0"/>
              <w:jc w:val="start"/>
              <w:rPr>
                <w:sz w:val="26"/>
                <w:szCs w:val="26"/>
              </w:rPr>
            </w:pPr>
            <w:r>
              <w:rPr>
                <w:sz w:val="26"/>
                <w:sz w:val="26"/>
                <w:szCs w:val="26"/>
                <w:rtl w:val="true"/>
              </w:rPr>
              <w:t>ע</w:t>
            </w:r>
            <w:r>
              <w:rPr>
                <w:sz w:val="26"/>
                <w:szCs w:val="26"/>
                <w:rtl w:val="true"/>
              </w:rPr>
              <w:t>"</w:t>
            </w:r>
            <w:r>
              <w:rPr>
                <w:sz w:val="26"/>
                <w:sz w:val="26"/>
                <w:szCs w:val="26"/>
                <w:rtl w:val="true"/>
              </w:rPr>
              <w:t>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איתן</w:t>
            </w:r>
            <w:r>
              <w:rPr>
                <w:rFonts w:cs="Times New Roman"/>
                <w:sz w:val="26"/>
                <w:sz w:val="26"/>
                <w:szCs w:val="26"/>
                <w:rtl w:val="true"/>
              </w:rPr>
              <w:t xml:space="preserve"> </w:t>
            </w:r>
            <w:r>
              <w:rPr>
                <w:sz w:val="26"/>
                <w:sz w:val="26"/>
                <w:szCs w:val="26"/>
                <w:rtl w:val="true"/>
              </w:rPr>
              <w:t>און</w:t>
            </w:r>
          </w:p>
        </w:tc>
        <w:tc>
          <w:tcPr>
            <w:tcW w:w="3362" w:type="dxa"/>
            <w:tcBorders/>
          </w:tcPr>
          <w:p>
            <w:pPr>
              <w:pStyle w:val="Normal"/>
              <w:snapToGrid w:val="false"/>
              <w:ind w:end="0"/>
              <w:jc w:val="end"/>
              <w:rPr>
                <w:rFonts w:ascii="Arial" w:hAnsi="Arial" w:cs="Arial"/>
                <w:sz w:val="26"/>
                <w:szCs w:val="26"/>
              </w:rPr>
            </w:pPr>
            <w:r>
              <w:rPr>
                <w:rFonts w:cs="Arial" w:ascii="Arial" w:hAnsi="Arial"/>
                <w:sz w:val="26"/>
                <w:szCs w:val="26"/>
                <w:rtl w:val="true"/>
              </w:rPr>
            </w:r>
          </w:p>
        </w:tc>
      </w:tr>
      <w:tr>
        <w:trPr>
          <w:trHeight w:val="355" w:hRule="atLeast"/>
        </w:trPr>
        <w:tc>
          <w:tcPr>
            <w:tcW w:w="1195" w:type="dxa"/>
            <w:tcBorders/>
          </w:tcPr>
          <w:p>
            <w:pPr>
              <w:pStyle w:val="Normal"/>
              <w:snapToGrid w:val="false"/>
              <w:ind w:end="0"/>
              <w:jc w:val="both"/>
              <w:rPr>
                <w:rFonts w:ascii="Arial" w:hAnsi="Arial" w:cs="Arial"/>
                <w:sz w:val="26"/>
                <w:szCs w:val="26"/>
              </w:rPr>
            </w:pPr>
            <w:r>
              <w:rPr>
                <w:rFonts w:cs="Arial" w:ascii="Arial" w:hAnsi="Arial"/>
                <w:sz w:val="26"/>
                <w:szCs w:val="26"/>
                <w:rtl w:val="true"/>
              </w:rPr>
            </w:r>
          </w:p>
        </w:tc>
        <w:tc>
          <w:tcPr>
            <w:tcW w:w="4263" w:type="dxa"/>
            <w:tcBorders/>
          </w:tcPr>
          <w:p>
            <w:pPr>
              <w:pStyle w:val="Normal"/>
              <w:snapToGrid w:val="false"/>
              <w:ind w:end="0"/>
              <w:jc w:val="start"/>
              <w:rPr>
                <w:rFonts w:ascii="Arial" w:hAnsi="Arial" w:cs="Arial"/>
                <w:sz w:val="26"/>
                <w:szCs w:val="26"/>
              </w:rPr>
            </w:pPr>
            <w:r>
              <w:rPr>
                <w:rFonts w:cs="Arial" w:ascii="Arial" w:hAnsi="Arial"/>
                <w:sz w:val="26"/>
                <w:szCs w:val="26"/>
                <w:rtl w:val="true"/>
              </w:rPr>
            </w:r>
          </w:p>
        </w:tc>
        <w:tc>
          <w:tcPr>
            <w:tcW w:w="3362" w:type="dxa"/>
            <w:tcBorders/>
          </w:tcPr>
          <w:p>
            <w:pPr>
              <w:pStyle w:val="Normal"/>
              <w:snapToGrid w:val="false"/>
              <w:ind w:end="0"/>
              <w:jc w:val="end"/>
              <w:rPr>
                <w:rFonts w:ascii="Arial" w:hAnsi="Arial" w:cs="Arial"/>
                <w:sz w:val="26"/>
                <w:szCs w:val="26"/>
              </w:rPr>
            </w:pPr>
            <w:r>
              <w:rPr>
                <w:rFonts w:cs="Arial" w:ascii="Arial" w:hAnsi="Arial"/>
                <w:sz w:val="26"/>
                <w:szCs w:val="26"/>
                <w:rtl w:val="true"/>
              </w:rPr>
            </w:r>
          </w:p>
        </w:tc>
      </w:tr>
    </w:tbl>
    <w:p>
      <w:pPr>
        <w:pStyle w:val="Normal"/>
        <w:ind w:end="0"/>
        <w:jc w:val="start"/>
        <w:rPr/>
      </w:pPr>
      <w:r>
        <w:rPr>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40</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4">
        <w:r>
          <w:rPr>
            <w:rStyle w:val="Hyperlink"/>
            <w:rFonts w:cs="FrankRuehl" w:ascii="FrankRuehl" w:hAnsi="FrankRuehl"/>
            <w:color w:val="0000FF"/>
          </w:rPr>
          <w:t>40</w:t>
        </w:r>
        <w:r>
          <w:rPr>
            <w:rStyle w:val="Hyperlink"/>
            <w:rFonts w:ascii="FrankRuehl" w:hAnsi="FrankRuehl" w:cs="FrankRuehl"/>
            <w:color w:val="0000FF"/>
            <w:rtl w:val="true"/>
          </w:rPr>
          <w:t>ט</w:t>
        </w:r>
      </w:hyperlink>
      <w:r>
        <w:rPr>
          <w:rFonts w:cs="FrankRuehl" w:ascii="FrankRuehl" w:hAnsi="FrankRuehl"/>
          <w:rtl w:val="true"/>
        </w:rPr>
        <w:t xml:space="preserve">, </w:t>
      </w:r>
      <w:hyperlink r:id="rId5">
        <w:r>
          <w:rPr>
            <w:rStyle w:val="Hyperlink"/>
            <w:rFonts w:cs="FrankRuehl" w:ascii="FrankRuehl" w:hAnsi="FrankRuehl"/>
            <w:color w:val="0000FF"/>
          </w:rPr>
          <w:t>144</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144</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ב</w:t>
        </w:r>
        <w:r>
          <w:rPr>
            <w:rStyle w:val="Hyperlink"/>
            <w:rFonts w:cs="FrankRuehl" w:ascii="FrankRuehl" w:hAnsi="FrankRuehl"/>
            <w:color w:val="0000FF"/>
            <w:rtl w:val="true"/>
          </w:rPr>
          <w:t>) (</w:t>
        </w:r>
        <w:r>
          <w:rPr>
            <w:rStyle w:val="Hyperlink"/>
            <w:rFonts w:ascii="FrankRuehl" w:hAnsi="FrankRuehl" w:cs="FrankRuehl"/>
            <w:color w:val="0000FF"/>
            <w:rtl w:val="true"/>
          </w:rPr>
          <w:t>ב</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192</w:t>
        </w:r>
      </w:hyperlink>
      <w:r>
        <w:rPr>
          <w:rFonts w:cs="FrankRuehl" w:ascii="FrankRuehl" w:hAnsi="FrankRuehl"/>
          <w:rtl w:val="true"/>
        </w:rPr>
        <w:t xml:space="preserve">, </w:t>
      </w:r>
      <w:hyperlink r:id="rId8">
        <w:r>
          <w:rPr>
            <w:rStyle w:val="Hyperlink"/>
            <w:rFonts w:cs="FrankRuehl" w:ascii="FrankRuehl" w:hAnsi="FrankRuehl"/>
            <w:color w:val="0000FF"/>
          </w:rPr>
          <w:t>500</w:t>
        </w:r>
        <w:r>
          <w:rPr>
            <w:rStyle w:val="Hyperlink"/>
            <w:rFonts w:cs="FrankRuehl" w:ascii="FrankRuehl" w:hAnsi="FrankRuehl"/>
            <w:color w:val="0000FF"/>
            <w:rtl w:val="true"/>
          </w:rPr>
          <w:t>(</w:t>
        </w:r>
        <w:r>
          <w:rPr>
            <w:rStyle w:val="Hyperlink"/>
            <w:rFonts w:cs="FrankRuehl" w:ascii="FrankRuehl" w:hAnsi="FrankRuehl"/>
            <w:color w:val="0000FF"/>
          </w:rPr>
          <w:t>7</w:t>
        </w:r>
        <w:r>
          <w:rPr>
            <w:rStyle w:val="Hyperlink"/>
            <w:rFonts w:cs="FrankRuehl" w:ascii="FrankRuehl" w:hAnsi="FrankRuehl"/>
            <w:color w:val="0000FF"/>
            <w:rtl w:val="true"/>
          </w:rPr>
          <w:t>)</w:t>
        </w:r>
      </w:hyperlink>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28"/>
                <w:szCs w:val="28"/>
                <w:u w:val="single"/>
              </w:rPr>
            </w:pPr>
            <w:bookmarkStart w:id="7" w:name="PsakDin"/>
            <w:bookmarkEnd w:id="7"/>
            <w:r>
              <w:rPr>
                <w:rFonts w:ascii="Arial" w:hAnsi="Arial" w:cs="Arial"/>
                <w:b/>
                <w:b/>
                <w:bCs/>
                <w:sz w:val="28"/>
                <w:sz w:val="28"/>
                <w:szCs w:val="28"/>
                <w:u w:val="single"/>
                <w:rtl w:val="true"/>
              </w:rPr>
              <w:t>גזר דין</w:t>
            </w:r>
          </w:p>
          <w:p>
            <w:pPr>
              <w:pStyle w:val="Normal"/>
              <w:ind w:end="0"/>
              <w:jc w:val="center"/>
              <w:rPr>
                <w:rFonts w:ascii="Arial" w:hAnsi="Arial" w:cs="Arial"/>
                <w:b/>
                <w:bCs/>
                <w:sz w:val="28"/>
                <w:szCs w:val="28"/>
                <w:u w:val="single"/>
              </w:rPr>
            </w:pPr>
            <w:r>
              <w:rPr>
                <w:rFonts w:cs="Arial" w:ascii="Arial" w:hAnsi="Arial"/>
                <w:b/>
                <w:bCs/>
                <w:sz w:val="28"/>
                <w:szCs w:val="28"/>
                <w:u w:val="single"/>
                <w:rtl w:val="true"/>
              </w:rPr>
            </w:r>
          </w:p>
        </w:tc>
      </w:tr>
    </w:tbl>
    <w:p>
      <w:pPr>
        <w:pStyle w:val="Normal"/>
        <w:ind w:end="0"/>
        <w:jc w:val="start"/>
        <w:rPr>
          <w:rFonts w:ascii="Arial" w:hAnsi="Arial" w:cs="Arial"/>
        </w:rPr>
      </w:pPr>
      <w:r>
        <w:rPr>
          <w:rFonts w:cs="Arial" w:ascii="Arial" w:hAnsi="Arial"/>
          <w:rtl w:val="true"/>
        </w:rPr>
      </w:r>
    </w:p>
    <w:p>
      <w:pPr>
        <w:pStyle w:val="Normal"/>
        <w:spacing w:lineRule="auto" w:line="360"/>
        <w:ind w:end="0"/>
        <w:jc w:val="start"/>
        <w:rPr>
          <w:rFonts w:ascii="Arial" w:hAnsi="Arial" w:cs="Arial"/>
        </w:rPr>
      </w:pPr>
      <w:r>
        <w:rPr>
          <w:rFonts w:cs="Arial" w:ascii="Arial" w:hAnsi="Arial"/>
          <w:rtl w:val="true"/>
        </w:rPr>
      </w:r>
    </w:p>
    <w:p>
      <w:pPr>
        <w:pStyle w:val="Normal"/>
        <w:spacing w:lineRule="auto" w:line="360"/>
        <w:ind w:end="0"/>
        <w:jc w:val="start"/>
        <w:rPr>
          <w:rFonts w:ascii="David" w:hAnsi="David" w:cs="David"/>
          <w:b/>
          <w:bCs/>
          <w:u w:val="single"/>
        </w:rPr>
      </w:pPr>
      <w:r>
        <w:rPr>
          <w:rFonts w:ascii="David" w:hAnsi="David"/>
          <w:b/>
          <w:b/>
          <w:bCs/>
          <w:u w:val="single"/>
          <w:rtl w:val="true"/>
        </w:rPr>
        <w:t>השתלשלות ההליך</w:t>
      </w:r>
    </w:p>
    <w:p>
      <w:pPr>
        <w:pStyle w:val="Normal"/>
        <w:spacing w:lineRule="auto" w:line="360"/>
        <w:ind w:end="0"/>
        <w:jc w:val="start"/>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bookmarkStart w:id="8" w:name="ABSTRACT_START"/>
      <w:bookmarkEnd w:id="8"/>
      <w:r>
        <w:rPr>
          <w:rFonts w:ascii="David" w:hAnsi="David"/>
          <w:rtl w:val="true"/>
        </w:rPr>
        <w:t>מלכתחילה הועמדו הנאשמים לדין בכתב אישום חמור בו יוחסה להם שורה של עבירות</w:t>
      </w:r>
      <w:r>
        <w:rPr>
          <w:rFonts w:cs="David" w:ascii="David" w:hAnsi="David"/>
          <w:rtl w:val="true"/>
        </w:rPr>
        <w:t xml:space="preserve">, </w:t>
      </w:r>
      <w:r>
        <w:rPr>
          <w:rFonts w:ascii="David" w:hAnsi="David"/>
          <w:rtl w:val="true"/>
        </w:rPr>
        <w:t>וביניהן</w:t>
      </w:r>
      <w:r>
        <w:rPr>
          <w:rFonts w:cs="David" w:ascii="David" w:hAnsi="David"/>
          <w:rtl w:val="true"/>
        </w:rPr>
        <w:t xml:space="preserve">,  </w:t>
      </w:r>
      <w:r>
        <w:rPr>
          <w:rFonts w:ascii="David" w:hAnsi="David"/>
          <w:rtl w:val="true"/>
        </w:rPr>
        <w:t>קשירת קשר לפשע</w:t>
      </w:r>
      <w:r>
        <w:rPr>
          <w:rFonts w:cs="David" w:ascii="David" w:hAnsi="David"/>
          <w:rtl w:val="true"/>
        </w:rPr>
        <w:t xml:space="preserve">, </w:t>
      </w:r>
      <w:r>
        <w:rPr>
          <w:rFonts w:ascii="David" w:hAnsi="David"/>
          <w:rtl w:val="true"/>
        </w:rPr>
        <w:t>נשיאת אקדח</w:t>
      </w:r>
      <w:r>
        <w:rPr>
          <w:rFonts w:cs="David" w:ascii="David" w:hAnsi="David"/>
          <w:rtl w:val="true"/>
        </w:rPr>
        <w:t xml:space="preserve">, </w:t>
      </w:r>
      <w:r>
        <w:rPr>
          <w:rFonts w:ascii="David" w:hAnsi="David"/>
          <w:rtl w:val="true"/>
        </w:rPr>
        <w:t>איומים</w:t>
      </w:r>
      <w:r>
        <w:rPr>
          <w:rFonts w:cs="David" w:ascii="David" w:hAnsi="David"/>
          <w:rtl w:val="true"/>
        </w:rPr>
        <w:t xml:space="preserve">, </w:t>
      </w:r>
      <w:r>
        <w:rPr>
          <w:rFonts w:ascii="David" w:hAnsi="David"/>
          <w:rtl w:val="true"/>
        </w:rPr>
        <w:t>שיבוש מהלכי משפט ויריות באזור מגורים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משכפרו הנאשמים במיוחס להם הוחל שלב ההוכחות שנפרש על פני פרק זמן משמעותי</w:t>
      </w:r>
      <w:r>
        <w:rPr>
          <w:rFonts w:cs="David" w:ascii="David" w:hAnsi="David"/>
          <w:rtl w:val="true"/>
        </w:rPr>
        <w:t xml:space="preserve">, </w:t>
      </w:r>
      <w:r>
        <w:rPr>
          <w:rFonts w:ascii="David" w:hAnsi="David"/>
          <w:rtl w:val="true"/>
        </w:rPr>
        <w:t>במהלכו העידו ונחקרו עדים רבים ונפרשה תשתית ראייתית רחבה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bookmarkStart w:id="9" w:name="ABSTRACT_END"/>
      <w:bookmarkStart w:id="10" w:name="ABSTRACT_END"/>
      <w:bookmarkEnd w:id="10"/>
    </w:p>
    <w:p>
      <w:pPr>
        <w:pStyle w:val="Normal"/>
        <w:spacing w:lineRule="auto" w:line="360"/>
        <w:ind w:end="0"/>
        <w:jc w:val="both"/>
        <w:rPr>
          <w:rFonts w:ascii="David" w:hAnsi="David" w:cs="David"/>
        </w:rPr>
      </w:pPr>
      <w:r>
        <w:rPr>
          <w:rFonts w:ascii="David" w:hAnsi="David"/>
          <w:rtl w:val="true"/>
        </w:rPr>
        <w:t>בעיצומה של פרשת התביעה</w:t>
      </w:r>
      <w:r>
        <w:rPr>
          <w:rFonts w:cs="David" w:ascii="David" w:hAnsi="David"/>
          <w:rtl w:val="true"/>
        </w:rPr>
        <w:t xml:space="preserve">, </w:t>
      </w:r>
      <w:r>
        <w:rPr>
          <w:rFonts w:ascii="David" w:hAnsi="David"/>
          <w:rtl w:val="true"/>
        </w:rPr>
        <w:t>הודיעוני הצדדים כי הגיעו ל הסדר טיעון</w:t>
      </w:r>
      <w:r>
        <w:rPr>
          <w:rFonts w:cs="David" w:ascii="David" w:hAnsi="David"/>
          <w:rtl w:val="true"/>
        </w:rPr>
        <w:t xml:space="preserve">. </w:t>
      </w:r>
      <w:r>
        <w:rPr>
          <w:rFonts w:ascii="David" w:hAnsi="David"/>
          <w:rtl w:val="true"/>
        </w:rPr>
        <w:t>מכוחו הוגש כתב אישום מתוקן שיש בו הקלה משמעותית עם הנאשמים הן במישור העובדתי והן במישור המשפטי</w:t>
      </w:r>
      <w:r>
        <w:rPr>
          <w:rFonts w:cs="David" w:ascii="David" w:hAnsi="David"/>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u w:val="single"/>
        </w:rPr>
      </w:pPr>
      <w:r>
        <w:rPr>
          <w:rFonts w:ascii="David" w:hAnsi="David"/>
          <w:b/>
          <w:b/>
          <w:bCs/>
          <w:u w:val="single"/>
          <w:rtl w:val="true"/>
        </w:rPr>
        <w:t>כתב האישום המתוקן במסגרת הסדר טיעון</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pPr>
      <w:r>
        <w:rPr>
          <w:rFonts w:ascii="David" w:hAnsi="David"/>
          <w:rtl w:val="true"/>
        </w:rPr>
        <w:t>כעולה מעובדות כתב האישום המתוקן</w:t>
      </w:r>
      <w:r>
        <w:rPr>
          <w:rFonts w:cs="David" w:ascii="David" w:hAnsi="David"/>
          <w:rtl w:val="true"/>
        </w:rPr>
        <w:t xml:space="preserve">, </w:t>
      </w:r>
      <w:r>
        <w:rPr>
          <w:rFonts w:ascii="David" w:hAnsi="David"/>
          <w:rtl w:val="true"/>
        </w:rPr>
        <w:t xml:space="preserve">ביום </w:t>
      </w:r>
      <w:r>
        <w:rPr>
          <w:rFonts w:cs="David" w:ascii="David" w:hAnsi="David"/>
        </w:rPr>
        <w:t>20.3.17</w:t>
      </w:r>
      <w:r>
        <w:rPr>
          <w:rFonts w:cs="David" w:ascii="David" w:hAnsi="David"/>
          <w:rtl w:val="true"/>
        </w:rPr>
        <w:t xml:space="preserve">, </w:t>
      </w:r>
      <w:r>
        <w:rPr>
          <w:rFonts w:ascii="David" w:hAnsi="David"/>
          <w:rtl w:val="true"/>
        </w:rPr>
        <w:t xml:space="preserve">קשר נאשם </w:t>
      </w:r>
      <w:r>
        <w:rPr>
          <w:rFonts w:cs="David" w:ascii="David" w:hAnsi="David"/>
        </w:rPr>
        <w:t>2</w:t>
      </w:r>
      <w:r>
        <w:rPr>
          <w:rFonts w:cs="David" w:ascii="David" w:hAnsi="David"/>
          <w:rtl w:val="true"/>
        </w:rPr>
        <w:t xml:space="preserve"> </w:t>
      </w:r>
      <w:r>
        <w:rPr>
          <w:rFonts w:ascii="David" w:hAnsi="David"/>
          <w:rtl w:val="true"/>
        </w:rPr>
        <w:t xml:space="preserve">קשר עם אחר  כדי לאיים על משפחת </w:t>
      </w:r>
      <w:r>
        <w:rPr>
          <w:rFonts w:ascii="David" w:hAnsi="David"/>
          <w:rtl w:val="true"/>
        </w:rPr>
        <w:t xml:space="preserve">פלונים </w:t>
      </w:r>
      <w:r>
        <w:rPr>
          <w:rFonts w:ascii="David" w:hAnsi="David"/>
          <w:rtl w:val="true"/>
        </w:rPr>
        <w:t xml:space="preserve"> </w:t>
      </w:r>
      <w:r>
        <w:rPr>
          <w:rFonts w:cs="David" w:ascii="David" w:hAnsi="David"/>
          <w:rtl w:val="true"/>
        </w:rPr>
        <w:t>(</w:t>
      </w:r>
      <w:r>
        <w:rPr>
          <w:rFonts w:ascii="David" w:hAnsi="David"/>
          <w:rtl w:val="true"/>
        </w:rPr>
        <w:t>להלן בהתאמה</w:t>
      </w:r>
      <w:r>
        <w:rPr>
          <w:rFonts w:cs="David" w:ascii="David" w:hAnsi="David"/>
          <w:rtl w:val="true"/>
        </w:rPr>
        <w:t>: "</w:t>
      </w:r>
      <w:r>
        <w:rPr>
          <w:rFonts w:ascii="David" w:hAnsi="David"/>
          <w:b/>
          <w:b/>
          <w:bCs/>
          <w:rtl w:val="true"/>
        </w:rPr>
        <w:t>האחר</w:t>
      </w:r>
      <w:r>
        <w:rPr>
          <w:rFonts w:cs="David" w:ascii="David" w:hAnsi="David"/>
          <w:rtl w:val="true"/>
        </w:rPr>
        <w:t>" "</w:t>
      </w:r>
      <w:r>
        <w:rPr>
          <w:rFonts w:ascii="David" w:hAnsi="David"/>
          <w:b/>
          <w:b/>
          <w:bCs/>
          <w:rtl w:val="true"/>
        </w:rPr>
        <w:t>המשפחה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באותו מועד</w:t>
      </w:r>
      <w:r>
        <w:rPr>
          <w:rFonts w:cs="David" w:ascii="David" w:hAnsi="David"/>
          <w:rtl w:val="true"/>
        </w:rPr>
        <w:t xml:space="preserve">, </w:t>
      </w:r>
      <w:r>
        <w:rPr>
          <w:rFonts w:ascii="David" w:hAnsi="David"/>
          <w:rtl w:val="true"/>
        </w:rPr>
        <w:t xml:space="preserve">סמוך לשעה </w:t>
      </w:r>
      <w:r>
        <w:rPr>
          <w:rFonts w:cs="David" w:ascii="David" w:hAnsi="David"/>
        </w:rPr>
        <w:t>14:00</w:t>
      </w:r>
      <w:r>
        <w:rPr>
          <w:rFonts w:cs="David" w:ascii="David" w:hAnsi="David"/>
          <w:rtl w:val="true"/>
        </w:rPr>
        <w:t xml:space="preserve">, </w:t>
      </w:r>
      <w:r>
        <w:rPr>
          <w:rFonts w:ascii="David" w:hAnsi="David"/>
          <w:rtl w:val="true"/>
        </w:rPr>
        <w:t xml:space="preserve">התקשר נאשם </w:t>
      </w:r>
      <w:r>
        <w:rPr>
          <w:rFonts w:cs="David" w:ascii="David" w:hAnsi="David"/>
        </w:rPr>
        <w:t>1</w:t>
      </w:r>
      <w:r>
        <w:rPr>
          <w:rFonts w:cs="David" w:ascii="David" w:hAnsi="David"/>
          <w:rtl w:val="true"/>
        </w:rPr>
        <w:t xml:space="preserve"> </w:t>
      </w:r>
      <w:r>
        <w:rPr>
          <w:rFonts w:ascii="David" w:hAnsi="David"/>
          <w:rtl w:val="true"/>
        </w:rPr>
        <w:t>לפלונית</w:t>
      </w:r>
      <w:r>
        <w:rPr>
          <w:rFonts w:ascii="David" w:hAnsi="David"/>
          <w:rtl w:val="true"/>
        </w:rPr>
        <w:t xml:space="preserve"> אם המשפחה</w:t>
      </w:r>
      <w:r>
        <w:rPr>
          <w:rFonts w:cs="David" w:ascii="David" w:hAnsi="David"/>
          <w:rtl w:val="true"/>
        </w:rPr>
        <w:t xml:space="preserve">, </w:t>
      </w:r>
      <w:r>
        <w:rPr>
          <w:rFonts w:ascii="David" w:hAnsi="David"/>
          <w:rtl w:val="true"/>
        </w:rPr>
        <w:t>קילל אותה ואיים לפגוע בילדיה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באותו מועד הצטייד האחר באקדח וקליעים תואמים בקוטר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מ וזאת בידיעתו של נאשם </w:t>
      </w:r>
      <w:r>
        <w:rPr>
          <w:rFonts w:cs="David" w:ascii="David" w:hAnsi="David"/>
        </w:rPr>
        <w:t>2</w:t>
      </w:r>
      <w:r>
        <w:rPr>
          <w:rFonts w:cs="David" w:ascii="David" w:hAnsi="David"/>
          <w:rtl w:val="true"/>
        </w:rPr>
        <w:t xml:space="preserve"> </w:t>
      </w:r>
      <w:r>
        <w:rPr>
          <w:rFonts w:ascii="David" w:hAnsi="David"/>
          <w:rtl w:val="true"/>
        </w:rPr>
        <w:t>שהחזיק עמו את האקדח</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במעשיו המתוארים לעיל</w:t>
      </w:r>
      <w:r>
        <w:rPr>
          <w:rFonts w:cs="David" w:ascii="David" w:hAnsi="David"/>
          <w:rtl w:val="true"/>
        </w:rPr>
        <w:t xml:space="preserve">, </w:t>
      </w:r>
      <w:r>
        <w:rPr>
          <w:rFonts w:ascii="David" w:hAnsi="David"/>
          <w:rtl w:val="true"/>
        </w:rPr>
        <w:t>כך כתה האישום</w:t>
      </w:r>
      <w:r>
        <w:rPr>
          <w:rFonts w:cs="David" w:ascii="David" w:hAnsi="David"/>
          <w:rtl w:val="true"/>
        </w:rPr>
        <w:t xml:space="preserve">, </w:t>
      </w:r>
      <w:r>
        <w:rPr>
          <w:rFonts w:ascii="David" w:hAnsi="David"/>
          <w:rtl w:val="true"/>
        </w:rPr>
        <w:t xml:space="preserve">איים נאשם </w:t>
      </w:r>
      <w:r>
        <w:rPr>
          <w:rFonts w:cs="David" w:ascii="David" w:hAnsi="David"/>
        </w:rPr>
        <w:t>1</w:t>
      </w:r>
      <w:r>
        <w:rPr>
          <w:rFonts w:cs="David" w:ascii="David" w:hAnsi="David"/>
          <w:rtl w:val="true"/>
        </w:rPr>
        <w:t xml:space="preserve"> </w:t>
      </w:r>
      <w:r>
        <w:rPr>
          <w:rFonts w:ascii="David" w:hAnsi="David"/>
          <w:rtl w:val="true"/>
        </w:rPr>
        <w:t>על המשפח וקשר קשר עם האחר למטרה פסולה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במעשיו המתוארים לעיל</w:t>
      </w:r>
      <w:r>
        <w:rPr>
          <w:rFonts w:cs="David" w:ascii="David" w:hAnsi="David"/>
          <w:rtl w:val="true"/>
        </w:rPr>
        <w:t xml:space="preserve">, </w:t>
      </w:r>
      <w:r>
        <w:rPr>
          <w:rFonts w:ascii="David" w:hAnsi="David"/>
          <w:rtl w:val="true"/>
        </w:rPr>
        <w:t xml:space="preserve">החזיק נאשם </w:t>
      </w:r>
      <w:r>
        <w:rPr>
          <w:rFonts w:cs="David" w:ascii="David" w:hAnsi="David"/>
        </w:rPr>
        <w:t>2</w:t>
      </w:r>
      <w:r>
        <w:rPr>
          <w:rFonts w:cs="David" w:ascii="David" w:hAnsi="David"/>
          <w:rtl w:val="true"/>
        </w:rPr>
        <w:t xml:space="preserve"> </w:t>
      </w:r>
      <w:r>
        <w:rPr>
          <w:rFonts w:ascii="David" w:hAnsi="David"/>
          <w:rtl w:val="true"/>
        </w:rPr>
        <w:t>בנשק שלא כדין</w:t>
      </w:r>
      <w:r>
        <w:rPr>
          <w:rFonts w:cs="David" w:ascii="David" w:hAnsi="David"/>
          <w:rtl w:val="true"/>
        </w:rPr>
        <w:t xml:space="preserve">. </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u w:val="single"/>
        </w:rPr>
      </w:pPr>
      <w:r>
        <w:rPr>
          <w:rFonts w:ascii="David" w:hAnsi="David"/>
          <w:b/>
          <w:b/>
          <w:bCs/>
          <w:u w:val="single"/>
          <w:rtl w:val="true"/>
        </w:rPr>
        <w:t>הסדר הטיעון</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ascii="David" w:hAnsi="David"/>
          <w:rtl w:val="true"/>
        </w:rPr>
        <w:t>הסדר הטיעון כולל הסכמה לעניין העונש</w:t>
      </w:r>
      <w:r>
        <w:rPr>
          <w:rFonts w:cs="David" w:ascii="David" w:hAnsi="David"/>
          <w:rtl w:val="true"/>
        </w:rPr>
        <w:t xml:space="preserve">, </w:t>
      </w:r>
      <w:r>
        <w:rPr>
          <w:rFonts w:ascii="David" w:hAnsi="David"/>
          <w:rtl w:val="true"/>
        </w:rPr>
        <w:t>בגדרו הסכימו הצדדים לעתור לבית המשפט להטיל על הנאשמים את העונשים הבאים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b/>
          <w:b/>
          <w:bCs/>
          <w:rtl w:val="true"/>
        </w:rPr>
        <w:t xml:space="preserve">נאשם </w:t>
      </w:r>
      <w:r>
        <w:rPr>
          <w:rFonts w:cs="David" w:ascii="David" w:hAnsi="David"/>
          <w:b/>
          <w:bCs/>
        </w:rPr>
        <w:t>1</w:t>
      </w:r>
      <w:r>
        <w:rPr>
          <w:rFonts w:cs="David" w:ascii="David" w:hAnsi="David"/>
          <w:b/>
          <w:bCs/>
          <w:rtl w:val="true"/>
        </w:rPr>
        <w:t xml:space="preserve"> </w:t>
      </w:r>
      <w:r>
        <w:rPr>
          <w:rFonts w:ascii="David" w:hAnsi="David"/>
          <w:rtl w:val="true"/>
        </w:rPr>
        <w:t xml:space="preserve">עונש של מאסר בפועל בן </w:t>
      </w:r>
      <w:r>
        <w:rPr>
          <w:rFonts w:cs="David" w:ascii="David" w:hAnsi="David"/>
        </w:rPr>
        <w:t>7</w:t>
      </w:r>
      <w:r>
        <w:rPr>
          <w:rFonts w:cs="David" w:ascii="David" w:hAnsi="David"/>
          <w:rtl w:val="true"/>
        </w:rPr>
        <w:t xml:space="preserve"> </w:t>
      </w:r>
      <w:r>
        <w:rPr>
          <w:rFonts w:ascii="David" w:hAnsi="David"/>
          <w:rtl w:val="true"/>
        </w:rPr>
        <w:t>חודשים שירוצה מיום גזר הדין</w:t>
      </w:r>
      <w:r>
        <w:rPr>
          <w:rFonts w:cs="David" w:ascii="David" w:hAnsi="David"/>
          <w:rtl w:val="true"/>
        </w:rPr>
        <w:t xml:space="preserve">, </w:t>
      </w:r>
      <w:r>
        <w:rPr>
          <w:rFonts w:ascii="David" w:hAnsi="David"/>
          <w:rtl w:val="true"/>
        </w:rPr>
        <w:t>וכן מע</w:t>
      </w:r>
      <w:r>
        <w:rPr>
          <w:rFonts w:cs="David" w:ascii="David" w:hAnsi="David"/>
          <w:rtl w:val="true"/>
        </w:rPr>
        <w:t>"</w:t>
      </w:r>
      <w:r>
        <w:rPr>
          <w:rFonts w:ascii="David" w:hAnsi="David"/>
          <w:rtl w:val="true"/>
        </w:rPr>
        <w:t>ת לשיקול דעת בית המשפט</w:t>
      </w:r>
      <w:r>
        <w:rPr>
          <w:rFonts w:cs="David" w:ascii="David" w:hAnsi="David"/>
          <w:rtl w:val="true"/>
        </w:rPr>
        <w:t>.</w:t>
      </w:r>
    </w:p>
    <w:p>
      <w:pPr>
        <w:pStyle w:val="Normal"/>
        <w:spacing w:lineRule="auto" w:line="360"/>
        <w:ind w:end="0"/>
        <w:jc w:val="both"/>
        <w:rPr/>
      </w:pPr>
      <w:r>
        <w:rPr>
          <w:rFonts w:ascii="David" w:hAnsi="David"/>
          <w:b/>
          <w:b/>
          <w:bCs/>
          <w:rtl w:val="true"/>
        </w:rPr>
        <w:t xml:space="preserve">נאשם </w:t>
      </w:r>
      <w:r>
        <w:rPr>
          <w:rFonts w:cs="David" w:ascii="David" w:hAnsi="David"/>
          <w:b/>
          <w:bCs/>
        </w:rPr>
        <w:t>2</w:t>
      </w:r>
      <w:r>
        <w:rPr>
          <w:rFonts w:cs="David" w:ascii="David" w:hAnsi="David"/>
          <w:b/>
          <w:bCs/>
          <w:rtl w:val="true"/>
        </w:rPr>
        <w:t xml:space="preserve"> </w:t>
      </w:r>
      <w:r>
        <w:rPr>
          <w:rFonts w:ascii="David" w:hAnsi="David"/>
          <w:rtl w:val="true"/>
        </w:rPr>
        <w:t xml:space="preserve">עונש מאסר בפועל בן </w:t>
      </w:r>
      <w:r>
        <w:rPr>
          <w:rFonts w:cs="David" w:ascii="David" w:hAnsi="David"/>
        </w:rPr>
        <w:t>15</w:t>
      </w:r>
      <w:r>
        <w:rPr>
          <w:rFonts w:cs="David" w:ascii="David" w:hAnsi="David"/>
          <w:rtl w:val="true"/>
        </w:rPr>
        <w:t xml:space="preserve"> </w:t>
      </w:r>
      <w:r>
        <w:rPr>
          <w:rFonts w:ascii="David" w:hAnsi="David"/>
          <w:rtl w:val="true"/>
        </w:rPr>
        <w:t>חודשים וכן מע</w:t>
      </w:r>
      <w:r>
        <w:rPr>
          <w:rFonts w:cs="David" w:ascii="David" w:hAnsi="David"/>
          <w:rtl w:val="true"/>
        </w:rPr>
        <w:t>"</w:t>
      </w:r>
      <w:r>
        <w:rPr>
          <w:rFonts w:ascii="David" w:hAnsi="David"/>
          <w:rtl w:val="true"/>
        </w:rPr>
        <w:t>ת לשיקול דעת בית המשפט</w:t>
      </w:r>
      <w:r>
        <w:rPr>
          <w:rFonts w:cs="David" w:ascii="David" w:hAnsi="David"/>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u w:val="single"/>
        </w:rPr>
      </w:pPr>
      <w:r>
        <w:rPr>
          <w:rFonts w:ascii="David" w:hAnsi="David"/>
          <w:b/>
          <w:b/>
          <w:bCs/>
          <w:u w:val="single"/>
          <w:rtl w:val="true"/>
        </w:rPr>
        <w:t>ההרשעה</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ascii="David" w:hAnsi="David"/>
          <w:rtl w:val="true"/>
        </w:rPr>
        <w:t>בהתאם להסדר הטיעון הודו הנאשמים בכתב האישום המתוקן והורשעו על יסוד הודייתם בעבירות הבאות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b/>
          <w:b/>
          <w:bCs/>
          <w:rtl w:val="true"/>
        </w:rPr>
        <w:t xml:space="preserve">נאשם </w:t>
      </w:r>
      <w:r>
        <w:rPr>
          <w:rFonts w:cs="David" w:ascii="David" w:hAnsi="David"/>
          <w:b/>
          <w:bCs/>
        </w:rPr>
        <w:t>1</w:t>
      </w:r>
      <w:r>
        <w:rPr>
          <w:rFonts w:cs="David" w:ascii="David" w:hAnsi="David"/>
          <w:rtl w:val="true"/>
        </w:rPr>
        <w:t xml:space="preserve"> </w:t>
      </w:r>
      <w:r>
        <w:rPr>
          <w:rFonts w:ascii="David" w:hAnsi="David"/>
          <w:rtl w:val="true"/>
        </w:rPr>
        <w:t xml:space="preserve">הורשע בעבירות של </w:t>
      </w:r>
      <w:r>
        <w:rPr>
          <w:rFonts w:ascii="David" w:hAnsi="David"/>
          <w:b/>
          <w:b/>
          <w:bCs/>
          <w:rtl w:val="true"/>
        </w:rPr>
        <w:t>איומים</w:t>
      </w:r>
      <w:r>
        <w:rPr>
          <w:rFonts w:cs="David" w:ascii="David" w:hAnsi="David"/>
          <w:rtl w:val="true"/>
        </w:rPr>
        <w:t xml:space="preserve">, </w:t>
      </w:r>
      <w:r>
        <w:rPr>
          <w:rFonts w:ascii="David" w:hAnsi="David"/>
          <w:rtl w:val="true"/>
        </w:rPr>
        <w:t xml:space="preserve">עבירה לפי </w:t>
      </w:r>
      <w:hyperlink r:id="rId9">
        <w:r>
          <w:rPr>
            <w:rStyle w:val="Hyperlink"/>
            <w:rFonts w:ascii="David" w:hAnsi="David"/>
            <w:color w:val="0000FF"/>
            <w:u w:val="single"/>
            <w:rtl w:val="true"/>
          </w:rPr>
          <w:t xml:space="preserve">סעיף </w:t>
        </w:r>
        <w:r>
          <w:rPr>
            <w:rStyle w:val="Hyperlink"/>
            <w:rFonts w:cs="David" w:ascii="David" w:hAnsi="David"/>
            <w:color w:val="0000FF"/>
            <w:u w:val="single"/>
          </w:rPr>
          <w:t>192</w:t>
        </w:r>
      </w:hyperlink>
      <w:r>
        <w:rPr>
          <w:rFonts w:cs="David" w:ascii="David" w:hAnsi="David"/>
          <w:rtl w:val="true"/>
        </w:rPr>
        <w:t xml:space="preserve"> </w:t>
      </w:r>
      <w:r>
        <w:rPr>
          <w:rFonts w:ascii="David" w:hAnsi="David"/>
          <w:rtl w:val="true"/>
        </w:rPr>
        <w:t>ל</w:t>
      </w:r>
      <w:hyperlink r:id="rId10">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 xml:space="preserve">ז </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b/>
          <w:b/>
          <w:bCs/>
          <w:rtl w:val="true"/>
        </w:rPr>
        <w:t>החוק</w:t>
      </w:r>
      <w:r>
        <w:rPr>
          <w:rFonts w:cs="David" w:ascii="David" w:hAnsi="David"/>
          <w:rtl w:val="true"/>
        </w:rPr>
        <w:t xml:space="preserve">"), </w:t>
      </w:r>
      <w:r>
        <w:rPr>
          <w:rFonts w:ascii="David" w:hAnsi="David"/>
          <w:rtl w:val="true"/>
        </w:rPr>
        <w:t xml:space="preserve">ובעבירה של </w:t>
      </w:r>
      <w:r>
        <w:rPr>
          <w:rFonts w:ascii="David" w:hAnsi="David"/>
          <w:b/>
          <w:b/>
          <w:bCs/>
          <w:rtl w:val="true"/>
        </w:rPr>
        <w:t>קשירת קשר למטרה פסולה</w:t>
      </w:r>
      <w:r>
        <w:rPr>
          <w:rFonts w:ascii="David" w:hAnsi="David"/>
          <w:rtl w:val="true"/>
        </w:rPr>
        <w:t xml:space="preserve"> – עבירה לפי </w:t>
      </w:r>
      <w:hyperlink r:id="rId11">
        <w:r>
          <w:rPr>
            <w:rStyle w:val="Hyperlink"/>
            <w:rFonts w:ascii="David" w:hAnsi="David"/>
            <w:color w:val="0000FF"/>
            <w:u w:val="single"/>
            <w:rtl w:val="true"/>
          </w:rPr>
          <w:t xml:space="preserve">סעיף </w:t>
        </w:r>
        <w:r>
          <w:rPr>
            <w:rStyle w:val="Hyperlink"/>
            <w:rFonts w:cs="David" w:ascii="David" w:hAnsi="David"/>
            <w:color w:val="0000FF"/>
            <w:u w:val="single"/>
          </w:rPr>
          <w:t>500</w:t>
        </w:r>
        <w:r>
          <w:rPr>
            <w:rStyle w:val="Hyperlink"/>
            <w:rFonts w:cs="David" w:ascii="David" w:hAnsi="David"/>
            <w:color w:val="0000FF"/>
            <w:u w:val="single"/>
            <w:rtl w:val="true"/>
          </w:rPr>
          <w:t>(</w:t>
        </w:r>
        <w:r>
          <w:rPr>
            <w:rStyle w:val="Hyperlink"/>
            <w:rFonts w:cs="David" w:ascii="David" w:hAnsi="David"/>
            <w:color w:val="0000FF"/>
            <w:u w:val="single"/>
          </w:rPr>
          <w:t>7</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לחוק</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b/>
          <w:b/>
          <w:bCs/>
          <w:rtl w:val="true"/>
        </w:rPr>
        <w:t xml:space="preserve">נאשם </w:t>
      </w:r>
      <w:r>
        <w:rPr>
          <w:rFonts w:cs="David" w:ascii="David" w:hAnsi="David"/>
          <w:b/>
          <w:bCs/>
        </w:rPr>
        <w:t>2</w:t>
      </w:r>
      <w:r>
        <w:rPr>
          <w:rFonts w:cs="David" w:ascii="David" w:hAnsi="David"/>
          <w:rtl w:val="true"/>
        </w:rPr>
        <w:t xml:space="preserve"> </w:t>
      </w:r>
      <w:r>
        <w:rPr>
          <w:rFonts w:ascii="David" w:hAnsi="David"/>
          <w:rtl w:val="true"/>
        </w:rPr>
        <w:t xml:space="preserve">הורשע בעבירה של </w:t>
      </w:r>
      <w:r>
        <w:rPr>
          <w:rFonts w:ascii="David" w:hAnsi="David"/>
          <w:b/>
          <w:b/>
          <w:bCs/>
          <w:rtl w:val="true"/>
        </w:rPr>
        <w:t>החזקת נשק שלא כדין</w:t>
      </w:r>
      <w:r>
        <w:rPr>
          <w:rFonts w:cs="David" w:ascii="David" w:hAnsi="David"/>
          <w:rtl w:val="true"/>
        </w:rPr>
        <w:t xml:space="preserve">, </w:t>
      </w:r>
      <w:r>
        <w:rPr>
          <w:rFonts w:ascii="David" w:hAnsi="David"/>
          <w:rtl w:val="true"/>
        </w:rPr>
        <w:t xml:space="preserve">עבירה לפי סעיף </w:t>
      </w:r>
      <w:hyperlink r:id="rId12">
        <w:r>
          <w:rPr>
            <w:rStyle w:val="Hyperlink"/>
            <w:rFonts w:cs="David" w:ascii="David" w:hAnsi="David"/>
            <w:color w:val="0000FF"/>
            <w:u w:val="single"/>
          </w:rPr>
          <w:t>144</w:t>
        </w:r>
        <w:r>
          <w:rPr>
            <w:rStyle w:val="Hyperlink"/>
            <w:rFonts w:cs="David" w:ascii="David" w:hAnsi="David"/>
            <w:color w:val="0000FF"/>
            <w:u w:val="single"/>
            <w:rtl w:val="true"/>
          </w:rPr>
          <w:t xml:space="preserve"> (</w:t>
        </w:r>
        <w:r>
          <w:rPr>
            <w:rStyle w:val="Hyperlink"/>
            <w:rFonts w:ascii="David" w:hAnsi="David"/>
            <w:color w:val="0000FF"/>
            <w:u w:val="single"/>
            <w:rtl w:val="true"/>
          </w:rPr>
          <w:t>א</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ascii="David" w:hAnsi="David"/>
          <w:b/>
          <w:b/>
          <w:bCs/>
          <w:u w:val="single"/>
          <w:rtl w:val="true"/>
        </w:rPr>
        <w:t>ראיות לעונש</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 xml:space="preserve">מגיליון הרשעותיו של נאשם </w:t>
      </w:r>
      <w:r>
        <w:rPr>
          <w:rFonts w:cs="David" w:ascii="David" w:hAnsi="David"/>
        </w:rPr>
        <w:t>1</w:t>
      </w:r>
      <w:r>
        <w:rPr>
          <w:rFonts w:cs="David" w:ascii="David" w:hAnsi="David"/>
          <w:rtl w:val="true"/>
        </w:rPr>
        <w:t xml:space="preserve"> </w:t>
      </w:r>
      <w:r>
        <w:rPr>
          <w:rFonts w:ascii="David" w:hAnsi="David"/>
          <w:rtl w:val="true"/>
        </w:rPr>
        <w:t>עולה</w:t>
      </w:r>
      <w:r>
        <w:rPr>
          <w:rFonts w:cs="David" w:ascii="David" w:hAnsi="David"/>
          <w:rtl w:val="true"/>
        </w:rPr>
        <w:t>,</w:t>
      </w:r>
      <w:r>
        <w:rPr>
          <w:rFonts w:cs="David" w:ascii="David" w:hAnsi="David"/>
          <w:rtl w:val="true"/>
        </w:rPr>
        <w:t xml:space="preserve"> </w:t>
      </w:r>
      <w:r>
        <w:rPr>
          <w:rFonts w:ascii="David" w:hAnsi="David"/>
          <w:rtl w:val="true"/>
        </w:rPr>
        <w:t>שלחובתו עבר פלילי</w:t>
      </w:r>
      <w:r>
        <w:rPr>
          <w:rFonts w:cs="David" w:ascii="David" w:hAnsi="David"/>
          <w:rtl w:val="true"/>
        </w:rPr>
        <w:t xml:space="preserve">, </w:t>
      </w:r>
      <w:r>
        <w:rPr>
          <w:rFonts w:ascii="David" w:hAnsi="David"/>
          <w:rtl w:val="true"/>
        </w:rPr>
        <w:t>הכולל חמש הרשעות קודמות בגין ביצוע עבירות רכוש</w:t>
      </w:r>
      <w:r>
        <w:rPr>
          <w:rFonts w:cs="David" w:ascii="David" w:hAnsi="David"/>
          <w:rtl w:val="true"/>
        </w:rPr>
        <w:t xml:space="preserve">, </w:t>
      </w:r>
      <w:r>
        <w:rPr>
          <w:rFonts w:ascii="David" w:hAnsi="David"/>
          <w:rtl w:val="true"/>
        </w:rPr>
        <w:t>סמים</w:t>
      </w:r>
      <w:r>
        <w:rPr>
          <w:rFonts w:cs="David" w:ascii="David" w:hAnsi="David"/>
          <w:rtl w:val="true"/>
        </w:rPr>
        <w:t xml:space="preserve">, </w:t>
      </w:r>
      <w:r>
        <w:rPr>
          <w:rFonts w:ascii="David" w:hAnsi="David"/>
          <w:rtl w:val="true"/>
        </w:rPr>
        <w:t>אלימות</w:t>
      </w:r>
      <w:r>
        <w:rPr>
          <w:rFonts w:cs="David" w:ascii="David" w:hAnsi="David"/>
          <w:rtl w:val="true"/>
        </w:rPr>
        <w:t xml:space="preserve">, </w:t>
      </w:r>
      <w:r>
        <w:rPr>
          <w:rFonts w:ascii="David" w:hAnsi="David"/>
          <w:rtl w:val="true"/>
        </w:rPr>
        <w:t>הפרת הוראה חוקית</w:t>
      </w:r>
      <w:r>
        <w:rPr>
          <w:rFonts w:cs="David" w:ascii="David" w:hAnsi="David"/>
          <w:rtl w:val="true"/>
        </w:rPr>
        <w:t xml:space="preserve">, </w:t>
      </w:r>
      <w:r>
        <w:rPr>
          <w:rFonts w:ascii="David" w:hAnsi="David"/>
          <w:rtl w:val="true"/>
        </w:rPr>
        <w:t>החזקת נשק</w:t>
      </w:r>
      <w:r>
        <w:rPr>
          <w:rFonts w:cs="David" w:ascii="David" w:hAnsi="David"/>
          <w:rtl w:val="true"/>
        </w:rPr>
        <w:t xml:space="preserve">, </w:t>
      </w:r>
      <w:r>
        <w:rPr>
          <w:rFonts w:ascii="David" w:hAnsi="David"/>
          <w:rtl w:val="true"/>
        </w:rPr>
        <w:t>ניהול עסק ללא רישיון</w:t>
      </w:r>
      <w:r>
        <w:rPr>
          <w:rFonts w:cs="David" w:ascii="David" w:hAnsi="David"/>
          <w:rtl w:val="true"/>
        </w:rPr>
        <w:t xml:space="preserve">, </w:t>
      </w:r>
      <w:r>
        <w:rPr>
          <w:rFonts w:ascii="David" w:hAnsi="David"/>
          <w:rtl w:val="true"/>
        </w:rPr>
        <w:t>בגינן אף ריצה תקופות מאסר</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לחובת נאשם </w:t>
      </w:r>
      <w:r>
        <w:rPr>
          <w:rFonts w:cs="David" w:ascii="David" w:hAnsi="David"/>
        </w:rPr>
        <w:t>2</w:t>
      </w:r>
      <w:r>
        <w:rPr>
          <w:rFonts w:cs="David" w:ascii="David" w:hAnsi="David"/>
          <w:rtl w:val="true"/>
        </w:rPr>
        <w:t xml:space="preserve"> </w:t>
      </w:r>
      <w:r>
        <w:rPr>
          <w:rFonts w:ascii="David" w:hAnsi="David"/>
          <w:rtl w:val="true"/>
        </w:rPr>
        <w:t>הרשעה אחת בגין עבירת גניבה</w:t>
      </w:r>
      <w:r>
        <w:rPr>
          <w:rFonts w:cs="David" w:ascii="David" w:hAnsi="David"/>
          <w:rtl w:val="true"/>
        </w:rPr>
        <w:t xml:space="preserve">. </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u w:val="single"/>
        </w:rPr>
      </w:pPr>
      <w:r>
        <w:rPr>
          <w:rFonts w:ascii="David" w:hAnsi="David"/>
          <w:b/>
          <w:b/>
          <w:bCs/>
          <w:u w:val="single"/>
          <w:rtl w:val="true"/>
        </w:rPr>
        <w:t>טיעוני הצדדים לכיבוד ההסדר</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ascii="David" w:hAnsi="David"/>
          <w:rtl w:val="true"/>
        </w:rPr>
        <w:t>בטיעוניהם הציגו ב</w:t>
      </w:r>
      <w:r>
        <w:rPr>
          <w:rFonts w:cs="David" w:ascii="David" w:hAnsi="David"/>
          <w:rtl w:val="true"/>
        </w:rPr>
        <w:t>"</w:t>
      </w:r>
      <w:r>
        <w:rPr>
          <w:rFonts w:ascii="David" w:hAnsi="David"/>
          <w:rtl w:val="true"/>
        </w:rPr>
        <w:t>כ הצדדים עמדה אחידה ומשותפת  בעתירתם לכיבוד הסדר הטיעון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w:t>
      </w:r>
      <w:r>
        <w:rPr>
          <w:rFonts w:cs="David" w:ascii="David" w:hAnsi="David"/>
          <w:rtl w:val="true"/>
        </w:rPr>
        <w:t>"</w:t>
      </w:r>
      <w:r>
        <w:rPr>
          <w:rFonts w:ascii="David" w:hAnsi="David"/>
          <w:rtl w:val="true"/>
        </w:rPr>
        <w:t>כ המאשימה פירט את השיקולים שעמדו בבסיס ה</w:t>
      </w:r>
      <w:r>
        <w:rPr>
          <w:rFonts w:ascii="David" w:hAnsi="David"/>
          <w:rtl w:val="true"/>
        </w:rPr>
        <w:t>ה</w:t>
      </w:r>
      <w:r>
        <w:rPr>
          <w:rFonts w:ascii="David" w:hAnsi="David"/>
          <w:rtl w:val="true"/>
        </w:rPr>
        <w:t>סדר והובילו לגיבושו</w:t>
      </w:r>
      <w:r>
        <w:rPr>
          <w:rFonts w:cs="David" w:ascii="David" w:hAnsi="David"/>
          <w:rtl w:val="true"/>
        </w:rPr>
        <w:t xml:space="preserve">, </w:t>
      </w:r>
      <w:r>
        <w:rPr>
          <w:rFonts w:ascii="David" w:hAnsi="David"/>
          <w:rtl w:val="true"/>
        </w:rPr>
        <w:t>ובהם</w:t>
      </w:r>
      <w:r>
        <w:rPr>
          <w:rFonts w:cs="David" w:ascii="David" w:hAnsi="David"/>
          <w:rtl w:val="true"/>
        </w:rPr>
        <w:t xml:space="preserve">, </w:t>
      </w:r>
      <w:r>
        <w:rPr>
          <w:rFonts w:ascii="David" w:hAnsi="David"/>
          <w:rtl w:val="true"/>
        </w:rPr>
        <w:t xml:space="preserve">חלוף הזמן </w:t>
      </w:r>
      <w:r>
        <w:rPr>
          <w:rFonts w:ascii="David" w:hAnsi="David"/>
          <w:rtl w:val="true"/>
        </w:rPr>
        <w:t xml:space="preserve">הרב </w:t>
      </w:r>
      <w:r>
        <w:rPr>
          <w:rFonts w:ascii="David" w:hAnsi="David"/>
          <w:rtl w:val="true"/>
        </w:rPr>
        <w:t>מיום ביצוע העבירות</w:t>
      </w:r>
      <w:r>
        <w:rPr>
          <w:rFonts w:cs="David" w:ascii="David" w:hAnsi="David"/>
          <w:rtl w:val="true"/>
        </w:rPr>
        <w:t xml:space="preserve">, </w:t>
      </w:r>
      <w:r>
        <w:rPr>
          <w:rFonts w:ascii="David" w:hAnsi="David"/>
          <w:rtl w:val="true"/>
        </w:rPr>
        <w:t>הודיית הנאשמים בכתב האישום המתוקן והנגזר מכך בחיסכון זמן שיפוטי</w:t>
      </w:r>
      <w:r>
        <w:rPr>
          <w:rFonts w:cs="David" w:ascii="David" w:hAnsi="David"/>
          <w:rtl w:val="true"/>
        </w:rPr>
        <w:t xml:space="preserve">, </w:t>
      </w:r>
      <w:r>
        <w:rPr>
          <w:rFonts w:ascii="David" w:hAnsi="David"/>
          <w:rtl w:val="true"/>
        </w:rPr>
        <w:t>ובנוסף</w:t>
      </w:r>
      <w:r>
        <w:rPr>
          <w:rFonts w:cs="David" w:ascii="David" w:hAnsi="David"/>
          <w:rtl w:val="true"/>
        </w:rPr>
        <w:t>,</w:t>
      </w:r>
      <w:r>
        <w:rPr>
          <w:rFonts w:cs="David" w:ascii="David" w:hAnsi="David"/>
          <w:rtl w:val="true"/>
        </w:rPr>
        <w:t xml:space="preserve"> </w:t>
      </w:r>
      <w:r>
        <w:rPr>
          <w:rFonts w:ascii="David" w:hAnsi="David"/>
          <w:rtl w:val="true"/>
        </w:rPr>
        <w:t>נלקחו בחשבון הקשיים הראייתיים שהתגלו במהלך השמעת חלק מעדי התביעה</w:t>
      </w:r>
      <w:r>
        <w:rPr>
          <w:rFonts w:cs="David" w:ascii="David" w:hAnsi="David"/>
          <w:rtl w:val="true"/>
        </w:rPr>
        <w:t xml:space="preserve">. </w:t>
      </w:r>
      <w:r>
        <w:rPr>
          <w:rFonts w:ascii="David" w:hAnsi="David"/>
          <w:rtl w:val="true"/>
        </w:rPr>
        <w:t>במכלול הנסיבות המאשימה סבורה שהעונש המוצע מידתי וראוי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הנאשמים הצטרף לטיעוני ב</w:t>
      </w:r>
      <w:r>
        <w:rPr>
          <w:rFonts w:cs="David" w:ascii="David" w:hAnsi="David"/>
          <w:rtl w:val="true"/>
        </w:rPr>
        <w:t>"</w:t>
      </w:r>
      <w:r>
        <w:rPr>
          <w:rFonts w:ascii="David" w:hAnsi="David"/>
          <w:rtl w:val="true"/>
        </w:rPr>
        <w:t>כ המאשימה</w:t>
      </w:r>
      <w:r>
        <w:rPr>
          <w:rFonts w:cs="David" w:ascii="David" w:hAnsi="David"/>
          <w:rtl w:val="true"/>
        </w:rPr>
        <w:t xml:space="preserve">, </w:t>
      </w:r>
      <w:r>
        <w:rPr>
          <w:rFonts w:ascii="David" w:hAnsi="David"/>
          <w:rtl w:val="true"/>
        </w:rPr>
        <w:t>תוך הדגשת משקלם של הקשיים הראייתיים</w:t>
      </w:r>
      <w:r>
        <w:rPr>
          <w:rFonts w:cs="David" w:ascii="David" w:hAnsi="David"/>
          <w:rtl w:val="true"/>
        </w:rPr>
        <w:t xml:space="preserve">, </w:t>
      </w:r>
      <w:r>
        <w:rPr>
          <w:rFonts w:ascii="David" w:hAnsi="David"/>
          <w:rtl w:val="true"/>
        </w:rPr>
        <w:t>אותם הגדיר</w:t>
      </w:r>
      <w:r>
        <w:rPr>
          <w:rFonts w:cs="David" w:ascii="David" w:hAnsi="David"/>
          <w:rtl w:val="true"/>
        </w:rPr>
        <w:t xml:space="preserve">, </w:t>
      </w:r>
      <w:r>
        <w:rPr>
          <w:rFonts w:ascii="David" w:hAnsi="David"/>
          <w:rtl w:val="true"/>
        </w:rPr>
        <w:t>כ</w:t>
      </w:r>
      <w:r>
        <w:rPr>
          <w:rFonts w:cs="David" w:ascii="David" w:hAnsi="David"/>
          <w:rtl w:val="true"/>
        </w:rPr>
        <w:t>"</w:t>
      </w:r>
      <w:r>
        <w:rPr>
          <w:rFonts w:ascii="David" w:hAnsi="David"/>
          <w:rtl w:val="true"/>
        </w:rPr>
        <w:t>עמוד השדרה</w:t>
      </w:r>
      <w:r>
        <w:rPr>
          <w:rFonts w:cs="David" w:ascii="David" w:hAnsi="David"/>
          <w:rtl w:val="true"/>
        </w:rPr>
        <w:t xml:space="preserve">" </w:t>
      </w:r>
      <w:r>
        <w:rPr>
          <w:rFonts w:ascii="David" w:hAnsi="David"/>
          <w:rtl w:val="true"/>
        </w:rPr>
        <w:t>של ההסדר</w:t>
      </w:r>
      <w:r>
        <w:rPr>
          <w:rFonts w:cs="David" w:ascii="David" w:hAnsi="David"/>
          <w:rtl w:val="true"/>
        </w:rPr>
        <w:t xml:space="preserve">, </w:t>
      </w:r>
      <w:r>
        <w:rPr>
          <w:rFonts w:ascii="David" w:hAnsi="David"/>
          <w:rtl w:val="true"/>
        </w:rPr>
        <w:t>שבעטיים תוקן כתב האישום</w:t>
      </w:r>
      <w:r>
        <w:rPr>
          <w:rFonts w:cs="David" w:ascii="David" w:hAnsi="David"/>
          <w:rtl w:val="true"/>
        </w:rPr>
        <w:t xml:space="preserve">. </w:t>
      </w:r>
      <w:r>
        <w:rPr>
          <w:rFonts w:ascii="David" w:hAnsi="David"/>
          <w:rtl w:val="true"/>
        </w:rPr>
        <w:t>ניהולו של המשך המשפט</w:t>
      </w:r>
      <w:r>
        <w:rPr>
          <w:rFonts w:cs="David" w:ascii="David" w:hAnsi="David"/>
          <w:rtl w:val="true"/>
        </w:rPr>
        <w:t xml:space="preserve">, </w:t>
      </w:r>
      <w:r>
        <w:rPr>
          <w:rFonts w:ascii="David" w:hAnsi="David"/>
          <w:rtl w:val="true"/>
        </w:rPr>
        <w:t>הוסיף ב</w:t>
      </w:r>
      <w:r>
        <w:rPr>
          <w:rFonts w:cs="David" w:ascii="David" w:hAnsi="David"/>
          <w:rtl w:val="true"/>
        </w:rPr>
        <w:t>"</w:t>
      </w:r>
      <w:r>
        <w:rPr>
          <w:rFonts w:ascii="David" w:hAnsi="David"/>
          <w:rtl w:val="true"/>
        </w:rPr>
        <w:t>כ הנאשמים</w:t>
      </w:r>
      <w:r>
        <w:rPr>
          <w:rFonts w:cs="David" w:ascii="David" w:hAnsi="David"/>
          <w:rtl w:val="true"/>
        </w:rPr>
        <w:t xml:space="preserve">, </w:t>
      </w:r>
      <w:r>
        <w:rPr>
          <w:rFonts w:ascii="David" w:hAnsi="David"/>
          <w:rtl w:val="true"/>
        </w:rPr>
        <w:t>היה כרוך בהעדת שורה ארוכה של עדים</w:t>
      </w:r>
      <w:r>
        <w:rPr>
          <w:rFonts w:cs="David" w:ascii="David" w:hAnsi="David"/>
          <w:rtl w:val="true"/>
        </w:rPr>
        <w:t xml:space="preserve">, </w:t>
      </w:r>
      <w:r>
        <w:rPr>
          <w:rFonts w:ascii="David" w:hAnsi="David"/>
          <w:rtl w:val="true"/>
        </w:rPr>
        <w:t>וההסדר הביא לחסכון זמן יקר</w:t>
      </w:r>
      <w:r>
        <w:rPr>
          <w:rFonts w:cs="David" w:ascii="David" w:hAnsi="David"/>
          <w:rtl w:val="true"/>
        </w:rPr>
        <w:t xml:space="preserve">. </w:t>
      </w:r>
      <w:r>
        <w:rPr>
          <w:rFonts w:ascii="David" w:hAnsi="David"/>
          <w:rtl w:val="true"/>
        </w:rPr>
        <w:t>הודאת הנאשמים בנסיבות כאלה מהווה</w:t>
      </w:r>
      <w:r>
        <w:rPr>
          <w:rFonts w:cs="David" w:ascii="David" w:hAnsi="David"/>
          <w:rtl w:val="true"/>
        </w:rPr>
        <w:t xml:space="preserve">, </w:t>
      </w:r>
      <w:r>
        <w:rPr>
          <w:rFonts w:ascii="David" w:hAnsi="David"/>
          <w:rtl w:val="true"/>
        </w:rPr>
        <w:t>לטעמו</w:t>
      </w:r>
      <w:r>
        <w:rPr>
          <w:rFonts w:cs="David" w:ascii="David" w:hAnsi="David"/>
          <w:rtl w:val="true"/>
        </w:rPr>
        <w:t xml:space="preserve">, </w:t>
      </w:r>
      <w:r>
        <w:rPr>
          <w:rFonts w:ascii="David" w:hAnsi="David"/>
          <w:rtl w:val="true"/>
        </w:rPr>
        <w:t>נטילת אחריות וראוי לשקלה כנסיבה לכיבוד ההסדר</w:t>
      </w:r>
      <w:r>
        <w:rPr>
          <w:rFonts w:cs="David" w:ascii="David" w:hAnsi="David"/>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u w:val="single"/>
        </w:rPr>
      </w:pPr>
      <w:r>
        <w:rPr>
          <w:rFonts w:ascii="David" w:hAnsi="David"/>
          <w:b/>
          <w:b/>
          <w:bCs/>
          <w:u w:val="single"/>
          <w:rtl w:val="true"/>
        </w:rPr>
        <w:t>דיון והכרעה</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ascii="David" w:hAnsi="David"/>
          <w:rtl w:val="true"/>
        </w:rPr>
        <w:t>ההלכה הנוהגת בעניין הסדרי טיעון היא כי יש לכבדם</w:t>
      </w:r>
      <w:r>
        <w:rPr>
          <w:rFonts w:cs="David" w:ascii="David" w:hAnsi="David"/>
          <w:rtl w:val="true"/>
        </w:rPr>
        <w:t xml:space="preserve">. </w:t>
      </w:r>
      <w:r>
        <w:rPr>
          <w:rFonts w:ascii="David" w:hAnsi="David"/>
          <w:rtl w:val="true"/>
        </w:rPr>
        <w:t>בלשונו של בית המשפט העליון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tl w:val="true"/>
        </w:rPr>
        <w:t>"</w:t>
      </w:r>
      <w:r>
        <w:rPr>
          <w:rFonts w:ascii="David" w:hAnsi="David"/>
          <w:b/>
          <w:b/>
          <w:bCs/>
          <w:rtl w:val="true"/>
        </w:rPr>
        <w:t>הכול מסכימים כי האינטרס הציבורי במובנו הרחב מחייב את בתי המשפט לעודד את קיומם של הסדרי טיעון</w:t>
      </w:r>
      <w:r>
        <w:rPr>
          <w:rFonts w:cs="David" w:ascii="David" w:hAnsi="David"/>
          <w:b/>
          <w:bCs/>
          <w:rtl w:val="true"/>
        </w:rPr>
        <w:t xml:space="preserve">" </w:t>
      </w:r>
      <w:r>
        <w:rPr>
          <w:rFonts w:cs="David" w:ascii="David" w:hAnsi="David"/>
          <w:rtl w:val="true"/>
        </w:rPr>
        <w:t>(</w:t>
      </w:r>
      <w:hyperlink r:id="rId1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1958/98</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ובאשר ליישום הוראות תיקון </w:t>
      </w:r>
      <w:r>
        <w:rPr>
          <w:rFonts w:cs="David" w:ascii="David" w:hAnsi="David"/>
        </w:rPr>
        <w:t>113</w:t>
      </w:r>
      <w:r>
        <w:rPr>
          <w:rFonts w:cs="David" w:ascii="David" w:hAnsi="David"/>
          <w:rtl w:val="true"/>
        </w:rPr>
        <w:t xml:space="preserve"> </w:t>
      </w:r>
      <w:r>
        <w:rPr>
          <w:rFonts w:ascii="David" w:hAnsi="David"/>
          <w:rtl w:val="true"/>
        </w:rPr>
        <w:t>במקרה של הסדר טיעון</w:t>
      </w:r>
      <w:r>
        <w:rPr>
          <w:rFonts w:cs="David" w:ascii="David" w:hAnsi="David"/>
          <w:rtl w:val="true"/>
        </w:rPr>
        <w:t xml:space="preserve">, </w:t>
      </w:r>
      <w:r>
        <w:rPr>
          <w:rFonts w:ascii="David" w:hAnsi="David"/>
          <w:rtl w:val="true"/>
        </w:rPr>
        <w:t>ככלל</w:t>
      </w:r>
      <w:r>
        <w:rPr>
          <w:rFonts w:cs="David" w:ascii="David" w:hAnsi="David"/>
          <w:rtl w:val="true"/>
        </w:rPr>
        <w:t xml:space="preserve">, </w:t>
      </w:r>
      <w:r>
        <w:rPr>
          <w:rFonts w:ascii="David" w:hAnsi="David"/>
          <w:rtl w:val="true"/>
        </w:rPr>
        <w:t xml:space="preserve">והסדר </w:t>
      </w:r>
      <w:r>
        <w:rPr>
          <w:rFonts w:cs="David" w:ascii="David" w:hAnsi="David"/>
          <w:rtl w:val="true"/>
        </w:rPr>
        <w:t>"</w:t>
      </w:r>
      <w:r>
        <w:rPr>
          <w:rFonts w:ascii="David" w:hAnsi="David"/>
          <w:rtl w:val="true"/>
        </w:rPr>
        <w:t>סגור</w:t>
      </w:r>
      <w:r>
        <w:rPr>
          <w:rFonts w:cs="David" w:ascii="David" w:hAnsi="David"/>
          <w:rtl w:val="true"/>
        </w:rPr>
        <w:t xml:space="preserve">", </w:t>
      </w:r>
      <w:r>
        <w:rPr>
          <w:rFonts w:ascii="David" w:hAnsi="David"/>
          <w:rtl w:val="true"/>
        </w:rPr>
        <w:t>בפרט</w:t>
      </w:r>
      <w:r>
        <w:rPr>
          <w:rFonts w:cs="David" w:ascii="David" w:hAnsi="David"/>
          <w:rtl w:val="true"/>
        </w:rPr>
        <w:t xml:space="preserve">. </w:t>
      </w:r>
    </w:p>
    <w:p>
      <w:pPr>
        <w:pStyle w:val="Normal"/>
        <w:spacing w:lineRule="auto" w:line="360"/>
        <w:ind w:end="0"/>
        <w:jc w:val="both"/>
        <w:rPr/>
      </w:pPr>
      <w:r>
        <w:rPr>
          <w:rFonts w:ascii="David" w:hAnsi="David"/>
          <w:rtl w:val="true"/>
        </w:rPr>
        <w:t xml:space="preserve">קיומו של הסדר טיעון </w:t>
      </w:r>
      <w:r>
        <w:rPr>
          <w:rFonts w:cs="David" w:ascii="David" w:hAnsi="David"/>
          <w:rtl w:val="true"/>
        </w:rPr>
        <w:t>"</w:t>
      </w:r>
      <w:r>
        <w:rPr>
          <w:rFonts w:ascii="David" w:hAnsi="David"/>
          <w:rtl w:val="true"/>
        </w:rPr>
        <w:t>סגור</w:t>
      </w:r>
      <w:r>
        <w:rPr>
          <w:rFonts w:cs="David" w:ascii="David" w:hAnsi="David"/>
          <w:rtl w:val="true"/>
        </w:rPr>
        <w:t xml:space="preserve">" </w:t>
      </w:r>
      <w:r>
        <w:rPr>
          <w:rFonts w:ascii="David" w:hAnsi="David"/>
          <w:rtl w:val="true"/>
        </w:rPr>
        <w:t xml:space="preserve">אינו מבטל את תחולת הוראות תיקון </w:t>
      </w:r>
      <w:r>
        <w:rPr>
          <w:rFonts w:cs="David" w:ascii="David" w:hAnsi="David"/>
        </w:rPr>
        <w:t>113</w:t>
      </w:r>
      <w:r>
        <w:rPr>
          <w:rFonts w:cs="David" w:ascii="David" w:hAnsi="David"/>
          <w:rtl w:val="true"/>
        </w:rPr>
        <w:t xml:space="preserve"> </w:t>
      </w:r>
      <w:r>
        <w:rPr>
          <w:rFonts w:ascii="David" w:hAnsi="David"/>
          <w:rtl w:val="true"/>
        </w:rPr>
        <w:t xml:space="preserve">לחוק ואינו פוטר את הערכאה הדיונית מלבחון אותו בהתאם להוראות תיקון </w:t>
      </w:r>
      <w:r>
        <w:rPr>
          <w:rFonts w:cs="David" w:ascii="David" w:hAnsi="David"/>
        </w:rPr>
        <w:t>113</w:t>
      </w:r>
      <w:r>
        <w:rPr>
          <w:rFonts w:cs="David" w:ascii="David" w:hAnsi="David"/>
          <w:rtl w:val="true"/>
        </w:rPr>
        <w:t xml:space="preserve">. </w:t>
      </w:r>
      <w:r>
        <w:rPr>
          <w:rFonts w:ascii="David" w:hAnsi="David"/>
          <w:rtl w:val="true"/>
        </w:rPr>
        <w:t>בפסיקה נקבע</w:t>
      </w:r>
      <w:r>
        <w:rPr>
          <w:rFonts w:cs="David" w:ascii="David" w:hAnsi="David"/>
          <w:rtl w:val="true"/>
        </w:rPr>
        <w:t xml:space="preserve">, </w:t>
      </w:r>
      <w:r>
        <w:rPr>
          <w:rFonts w:ascii="David" w:hAnsi="David"/>
          <w:rtl w:val="true"/>
        </w:rPr>
        <w:t>כי על בית המשפט לבחון את הסדר הטיעון על פי אמות המידה המקובלות</w:t>
      </w:r>
      <w:r>
        <w:rPr>
          <w:rFonts w:cs="David" w:ascii="David" w:hAnsi="David"/>
          <w:rtl w:val="true"/>
        </w:rPr>
        <w:t xml:space="preserve">, </w:t>
      </w:r>
      <w:r>
        <w:rPr>
          <w:rFonts w:ascii="David" w:hAnsi="David"/>
          <w:rtl w:val="true"/>
        </w:rPr>
        <w:t>בראי נסיבות המקרה ונסיבותיו האישיות של הנאשם</w:t>
      </w:r>
      <w:r>
        <w:rPr>
          <w:rFonts w:cs="David" w:ascii="David" w:hAnsi="David"/>
          <w:rtl w:val="true"/>
        </w:rPr>
        <w:t xml:space="preserve">, </w:t>
      </w:r>
      <w:r>
        <w:rPr>
          <w:rFonts w:ascii="David" w:hAnsi="David"/>
          <w:rtl w:val="true"/>
        </w:rPr>
        <w:t>וזאת</w:t>
      </w:r>
      <w:r>
        <w:rPr>
          <w:rFonts w:cs="David" w:ascii="David" w:hAnsi="David"/>
          <w:rtl w:val="true"/>
        </w:rPr>
        <w:t xml:space="preserve">, </w:t>
      </w:r>
      <w:r>
        <w:rPr>
          <w:rFonts w:ascii="David" w:hAnsi="David"/>
          <w:rtl w:val="true"/>
        </w:rPr>
        <w:t xml:space="preserve">לצד הכלל המצמצם את התערבות בית המשפט בהסדרי טיעון </w:t>
      </w:r>
      <w:r>
        <w:rPr>
          <w:rFonts w:cs="David" w:ascii="David" w:hAnsi="David"/>
          <w:rtl w:val="true"/>
        </w:rPr>
        <w:t>(</w:t>
      </w:r>
      <w:r>
        <w:rPr>
          <w:rFonts w:ascii="David" w:hAnsi="David"/>
          <w:rtl w:val="true"/>
        </w:rPr>
        <w:t>ראו</w:t>
      </w:r>
      <w:r>
        <w:rPr>
          <w:rFonts w:cs="David" w:ascii="David" w:hAnsi="David"/>
          <w:rtl w:val="true"/>
        </w:rPr>
        <w:t xml:space="preserve">: </w:t>
      </w:r>
      <w:hyperlink r:id="rId1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8820/14</w:t>
        </w:r>
      </w:hyperlink>
      <w:r>
        <w:rPr>
          <w:rFonts w:cs="David" w:ascii="David" w:hAnsi="David"/>
          <w:rtl w:val="true"/>
        </w:rPr>
        <w:t xml:space="preserve"> </w:t>
      </w:r>
      <w:r>
        <w:rPr>
          <w:rFonts w:ascii="David" w:hAnsi="David"/>
          <w:b/>
          <w:b/>
          <w:bCs/>
          <w:rtl w:val="true"/>
        </w:rPr>
        <w:t>זוהר שחר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24.6.2015</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 xml:space="preserve">כמצווה עלינו </w:t>
      </w:r>
      <w:hyperlink r:id="rId15">
        <w:r>
          <w:rPr>
            <w:rStyle w:val="Hyperlink"/>
            <w:rFonts w:ascii="David" w:hAnsi="David"/>
            <w:color w:val="0000FF"/>
            <w:u w:val="single"/>
            <w:rtl w:val="true"/>
          </w:rPr>
          <w:t xml:space="preserve">בסעיף </w:t>
        </w:r>
        <w:r>
          <w:rPr>
            <w:rStyle w:val="Hyperlink"/>
            <w:rFonts w:cs="David" w:ascii="David" w:hAnsi="David"/>
            <w:color w:val="0000FF"/>
            <w:u w:val="single"/>
          </w:rPr>
          <w:t>40</w:t>
        </w:r>
        <w:r>
          <w:rPr>
            <w:rStyle w:val="Hyperlink"/>
            <w:rFonts w:ascii="David" w:hAnsi="David"/>
            <w:color w:val="0000FF"/>
            <w:u w:val="single"/>
            <w:rtl w:val="true"/>
          </w:rPr>
          <w:t>ב</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rtl w:val="true"/>
        </w:rPr>
        <w:t>בבואי לגזור הדין</w:t>
      </w:r>
      <w:r>
        <w:rPr>
          <w:rFonts w:cs="David" w:ascii="David" w:hAnsi="David"/>
          <w:rtl w:val="true"/>
        </w:rPr>
        <w:t xml:space="preserve">, </w:t>
      </w:r>
      <w:r>
        <w:rPr>
          <w:rFonts w:ascii="David" w:hAnsi="David"/>
          <w:rtl w:val="true"/>
        </w:rPr>
        <w:t>נתתי דעתי על הדרך הראויה לילך בה במקרה שלפני לאורו של הכלל המנחה בענישה של קיום יחס הולם בין חומרת מעשה העבירה שביצעו הנאשמים בנסיבותיו ומידת אשמם בו ובין סוג ומידת העונש המוטל עליהם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בעת קביעת מתחם העונש ההולם על בית המשפט להתחשב בערכים המוגנים שנפגעו מביצוע העבירה ומידת הפגיעה בהם</w:t>
      </w:r>
      <w:r>
        <w:rPr>
          <w:rFonts w:cs="David" w:ascii="David" w:hAnsi="David"/>
          <w:rtl w:val="true"/>
        </w:rPr>
        <w:t xml:space="preserve">, </w:t>
      </w:r>
      <w:r>
        <w:rPr>
          <w:rFonts w:ascii="David" w:hAnsi="David"/>
          <w:rtl w:val="true"/>
        </w:rPr>
        <w:t>במדיניות הענישה הנהוגה ובנסיבות הקשורות בעבירה</w:t>
      </w:r>
      <w:r>
        <w:rPr>
          <w:rFonts w:cs="David" w:ascii="David" w:hAnsi="David"/>
          <w:rtl w:val="true"/>
        </w:rPr>
        <w:t xml:space="preserve">, </w:t>
      </w:r>
      <w:r>
        <w:rPr>
          <w:rFonts w:ascii="David" w:hAnsi="David"/>
          <w:rtl w:val="true"/>
        </w:rPr>
        <w:t xml:space="preserve">המנויות </w:t>
      </w:r>
      <w:hyperlink r:id="rId16">
        <w:r>
          <w:rPr>
            <w:rStyle w:val="Hyperlink"/>
            <w:rFonts w:ascii="David" w:hAnsi="David"/>
            <w:color w:val="0000FF"/>
            <w:u w:val="single"/>
            <w:rtl w:val="true"/>
          </w:rPr>
          <w:t xml:space="preserve">בסעיף </w:t>
        </w:r>
        <w:r>
          <w:rPr>
            <w:rStyle w:val="Hyperlink"/>
            <w:rFonts w:cs="David" w:ascii="David" w:hAnsi="David"/>
            <w:color w:val="0000FF"/>
            <w:u w:val="single"/>
          </w:rPr>
          <w:t>40</w:t>
        </w:r>
        <w:r>
          <w:rPr>
            <w:rStyle w:val="Hyperlink"/>
            <w:rFonts w:ascii="David" w:hAnsi="David"/>
            <w:color w:val="0000FF"/>
            <w:u w:val="single"/>
            <w:rtl w:val="true"/>
          </w:rPr>
          <w:t>ט</w:t>
        </w:r>
      </w:hyperlink>
      <w:r>
        <w:rPr>
          <w:rFonts w:ascii="David" w:hAnsi="David"/>
          <w:rtl w:val="true"/>
        </w:rPr>
        <w:t xml:space="preserve"> לחוק</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מבחינת הערכים שנפגעו מביצוע העבירות</w:t>
      </w:r>
      <w:r>
        <w:rPr>
          <w:rFonts w:cs="David" w:ascii="David" w:hAnsi="David"/>
          <w:rtl w:val="true"/>
        </w:rPr>
        <w:t xml:space="preserve">. </w:t>
      </w:r>
      <w:r>
        <w:rPr>
          <w:rFonts w:ascii="David" w:hAnsi="David"/>
          <w:rtl w:val="true"/>
        </w:rPr>
        <w:t>הן בעבירת האיומים וביתר שאת בעבירה של החזקת נשק</w:t>
      </w:r>
      <w:r>
        <w:rPr>
          <w:rFonts w:cs="David" w:ascii="David" w:hAnsi="David"/>
          <w:rtl w:val="true"/>
        </w:rPr>
        <w:t xml:space="preserve">, </w:t>
      </w:r>
      <w:r>
        <w:rPr>
          <w:rFonts w:ascii="David" w:hAnsi="David"/>
          <w:rtl w:val="true"/>
        </w:rPr>
        <w:t>מדובר בפגיעה בערכים מוגנים של שמירת על בטחונו ושלומו של הפרט</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u w:val="single"/>
        </w:rPr>
      </w:pPr>
      <w:r>
        <w:rPr>
          <w:rFonts w:ascii="David" w:hAnsi="David"/>
          <w:u w:val="single"/>
          <w:rtl w:val="true"/>
        </w:rPr>
        <w:t xml:space="preserve">מדיניות ענישה </w:t>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end="0"/>
        <w:jc w:val="both"/>
        <w:rPr/>
      </w:pPr>
      <w:r>
        <w:rPr>
          <w:rFonts w:ascii="David" w:hAnsi="David"/>
          <w:u w:val="single"/>
          <w:rtl w:val="true"/>
        </w:rPr>
        <w:t xml:space="preserve">עבירת </w:t>
      </w:r>
      <w:r>
        <w:rPr>
          <w:rFonts w:ascii="David" w:hAnsi="David"/>
          <w:u w:val="single"/>
          <w:rtl w:val="true"/>
        </w:rPr>
        <w:t>ה</w:t>
      </w:r>
      <w:r>
        <w:rPr>
          <w:rFonts w:ascii="David" w:hAnsi="David"/>
          <w:u w:val="single"/>
          <w:rtl w:val="true"/>
        </w:rPr>
        <w:t>איומים</w:t>
      </w:r>
    </w:p>
    <w:p>
      <w:pPr>
        <w:pStyle w:val="Normal"/>
        <w:spacing w:lineRule="auto" w:line="360"/>
        <w:ind w:end="0"/>
        <w:jc w:val="both"/>
        <w:rPr/>
      </w:pPr>
      <w:r>
        <w:rPr>
          <w:rFonts w:ascii="David" w:hAnsi="David"/>
          <w:rtl w:val="true"/>
        </w:rPr>
        <w:t>ב</w:t>
      </w:r>
      <w:hyperlink r:id="rId17">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3364/14</w:t>
        </w:r>
      </w:hyperlink>
      <w:r>
        <w:rPr>
          <w:rFonts w:cs="David" w:ascii="David" w:hAnsi="David"/>
          <w:rtl w:val="true"/>
        </w:rPr>
        <w:t xml:space="preserve"> </w:t>
      </w:r>
      <w:r>
        <w:rPr>
          <w:rFonts w:ascii="David" w:hAnsi="David"/>
          <w:b/>
          <w:b/>
          <w:bCs/>
          <w:rtl w:val="true"/>
        </w:rPr>
        <w:t>באסם מנצור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09.06.2014</w:t>
      </w:r>
      <w:r>
        <w:rPr>
          <w:rFonts w:cs="David" w:ascii="David" w:hAnsi="David"/>
          <w:rtl w:val="true"/>
        </w:rPr>
        <w:t xml:space="preserve">), </w:t>
      </w:r>
      <w:r>
        <w:rPr>
          <w:rFonts w:ascii="David" w:hAnsi="David"/>
          <w:rtl w:val="true"/>
        </w:rPr>
        <w:t xml:space="preserve">דחה בית המשפט העליון במסגרת בקשת רשות ערעור את ערעורם של המבקשים על ערעורם לבית המשפט המחוזי </w:t>
      </w:r>
      <w:r>
        <w:rPr>
          <w:rFonts w:cs="David" w:ascii="David" w:hAnsi="David"/>
          <w:rtl w:val="true"/>
        </w:rPr>
        <w:t>(</w:t>
      </w:r>
      <w:r>
        <w:rPr>
          <w:rFonts w:ascii="David" w:hAnsi="David"/>
          <w:rtl w:val="true"/>
        </w:rPr>
        <w:t>מרכז</w:t>
      </w:r>
      <w:r>
        <w:rPr>
          <w:rFonts w:cs="David" w:ascii="David" w:hAnsi="David"/>
          <w:rtl w:val="true"/>
        </w:rPr>
        <w:t>-</w:t>
      </w:r>
      <w:r>
        <w:rPr>
          <w:rFonts w:ascii="David" w:hAnsi="David"/>
          <w:rtl w:val="true"/>
        </w:rPr>
        <w:t>לוד</w:t>
      </w:r>
      <w:r>
        <w:rPr>
          <w:rFonts w:cs="David" w:ascii="David" w:hAnsi="David"/>
          <w:rtl w:val="true"/>
        </w:rPr>
        <w:t xml:space="preserve">), </w:t>
      </w:r>
      <w:r>
        <w:rPr>
          <w:rFonts w:ascii="David" w:hAnsi="David"/>
          <w:rtl w:val="true"/>
        </w:rPr>
        <w:t xml:space="preserve">אשר גזר על שני המבקשים </w:t>
      </w:r>
      <w:r>
        <w:rPr>
          <w:rFonts w:cs="David" w:ascii="David" w:hAnsi="David"/>
          <w:b/>
          <w:bCs/>
        </w:rPr>
        <w:t>6</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שני המבקשים הורשעו בבית משפט השלום בכפר סבא לאחר ניהול הליך הוכחות</w:t>
      </w:r>
      <w:r>
        <w:rPr>
          <w:rFonts w:cs="David" w:ascii="David" w:hAnsi="David"/>
          <w:rtl w:val="true"/>
        </w:rPr>
        <w:t xml:space="preserve">, </w:t>
      </w:r>
      <w:r>
        <w:rPr>
          <w:rFonts w:ascii="David" w:hAnsi="David"/>
          <w:rtl w:val="true"/>
        </w:rPr>
        <w:t>בעבירת איומים</w:t>
      </w:r>
      <w:r>
        <w:rPr>
          <w:rFonts w:cs="David" w:ascii="David" w:hAnsi="David"/>
          <w:rtl w:val="true"/>
        </w:rPr>
        <w:t xml:space="preserve">, </w:t>
      </w:r>
      <w:r>
        <w:rPr>
          <w:rFonts w:ascii="David" w:hAnsi="David"/>
          <w:rtl w:val="true"/>
        </w:rPr>
        <w:t xml:space="preserve">לפי </w:t>
      </w:r>
      <w:hyperlink r:id="rId18">
        <w:r>
          <w:rPr>
            <w:rStyle w:val="Hyperlink"/>
            <w:rFonts w:ascii="David" w:hAnsi="David"/>
            <w:color w:val="0000FF"/>
            <w:u w:val="single"/>
            <w:rtl w:val="true"/>
          </w:rPr>
          <w:t xml:space="preserve">סעיף </w:t>
        </w:r>
        <w:r>
          <w:rPr>
            <w:rStyle w:val="Hyperlink"/>
            <w:rFonts w:cs="David" w:ascii="David" w:hAnsi="David"/>
            <w:color w:val="0000FF"/>
            <w:u w:val="single"/>
          </w:rPr>
          <w:t>192</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rtl w:val="true"/>
        </w:rPr>
        <w:t>לפי עובדות המקרה</w:t>
      </w:r>
      <w:r>
        <w:rPr>
          <w:rFonts w:cs="David" w:ascii="David" w:hAnsi="David"/>
          <w:rtl w:val="true"/>
        </w:rPr>
        <w:t xml:space="preserve">, </w:t>
      </w:r>
      <w:r>
        <w:rPr>
          <w:rFonts w:ascii="David" w:hAnsi="David"/>
          <w:rtl w:val="true"/>
        </w:rPr>
        <w:t>המבקשים איימו על מי שהיה מורה לפיזיקה של בת משפחתם</w:t>
      </w:r>
      <w:r>
        <w:rPr>
          <w:rFonts w:cs="David" w:ascii="David" w:hAnsi="David"/>
          <w:rtl w:val="true"/>
        </w:rPr>
        <w:t xml:space="preserve">, </w:t>
      </w:r>
      <w:r>
        <w:rPr>
          <w:rFonts w:ascii="David" w:hAnsi="David"/>
          <w:rtl w:val="true"/>
        </w:rPr>
        <w:t>בכך שאמרו לו כי יבוצע ירי וייזרק רימון לעבר ביתו</w:t>
      </w:r>
      <w:r>
        <w:rPr>
          <w:rFonts w:cs="David" w:ascii="David" w:hAnsi="David"/>
          <w:rtl w:val="true"/>
        </w:rPr>
        <w:t xml:space="preserve">. </w:t>
      </w:r>
      <w:r>
        <w:rPr>
          <w:rFonts w:ascii="David" w:hAnsi="David"/>
          <w:rtl w:val="true"/>
        </w:rPr>
        <w:t>בין היתר פסק בית המשפט העליון בדחייתו את הערעור</w:t>
      </w:r>
      <w:r>
        <w:rPr>
          <w:rFonts w:cs="David" w:ascii="David" w:hAnsi="David"/>
          <w:rtl w:val="true"/>
        </w:rPr>
        <w:t xml:space="preserve">, </w:t>
      </w:r>
      <w:r>
        <w:rPr>
          <w:rFonts w:ascii="David" w:hAnsi="David"/>
          <w:rtl w:val="true"/>
        </w:rPr>
        <w:t>כי העונש שהושת על המבקשים אינו מצדיק התערבות</w:t>
      </w:r>
      <w:r>
        <w:rPr>
          <w:rFonts w:cs="David" w:ascii="David" w:hAnsi="David"/>
          <w:rtl w:val="true"/>
        </w:rPr>
        <w:t xml:space="preserve">, </w:t>
      </w:r>
      <w:r>
        <w:rPr>
          <w:rFonts w:ascii="David" w:hAnsi="David"/>
          <w:rtl w:val="true"/>
        </w:rPr>
        <w:t>משאינו חורג באופן מהותי ממדיניות הענישה הראויה והמקובלת</w:t>
      </w:r>
      <w:r>
        <w:rPr>
          <w:rFonts w:cs="David" w:ascii="David" w:hAnsi="David"/>
          <w:rtl w:val="true"/>
        </w:rPr>
        <w:t xml:space="preserve">, </w:t>
      </w:r>
      <w:r>
        <w:rPr>
          <w:rFonts w:ascii="David" w:hAnsi="David"/>
          <w:rtl w:val="true"/>
        </w:rPr>
        <w:t>וזאת</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נוכח חומרתם מעשיהם של המבקשים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u w:val="single"/>
        </w:rPr>
      </w:pPr>
      <w:r>
        <w:rPr>
          <w:rFonts w:ascii="David" w:hAnsi="David"/>
          <w:u w:val="single"/>
          <w:rtl w:val="true"/>
        </w:rPr>
        <w:t>העבירה של החזקת נשק שלא כדין</w:t>
      </w:r>
    </w:p>
    <w:p>
      <w:pPr>
        <w:pStyle w:val="Normal"/>
        <w:spacing w:lineRule="auto" w:line="360"/>
        <w:ind w:end="0"/>
        <w:jc w:val="both"/>
        <w:rPr/>
      </w:pPr>
      <w:r>
        <w:rPr>
          <w:rFonts w:ascii="David" w:hAnsi="David"/>
          <w:rtl w:val="true"/>
        </w:rPr>
        <w:t>ב</w:t>
      </w:r>
      <w:hyperlink r:id="rId19">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56305-02-20</w:t>
        </w:r>
      </w:hyperlink>
      <w:r>
        <w:rPr>
          <w:rFonts w:cs="David" w:ascii="David" w:hAnsi="David"/>
          <w:rtl w:val="true"/>
        </w:rPr>
        <w:t xml:space="preserve">‏‏ </w:t>
      </w:r>
      <w:r>
        <w:rPr>
          <w:rFonts w:ascii="David" w:hAnsi="David"/>
          <w:b/>
          <w:b/>
          <w:bCs/>
          <w:rtl w:val="true"/>
        </w:rPr>
        <w:t>ווספי אבו אלקיעאן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18.8.2020</w:t>
      </w:r>
      <w:r>
        <w:rPr>
          <w:rFonts w:cs="David" w:ascii="David" w:hAnsi="David"/>
          <w:rtl w:val="true"/>
        </w:rPr>
        <w:t xml:space="preserve">), </w:t>
      </w:r>
      <w:r>
        <w:rPr>
          <w:rFonts w:ascii="David" w:hAnsi="David"/>
          <w:rtl w:val="true"/>
        </w:rPr>
        <w:t>קיבל בית המשפט המחוזי באופן חלקי את ערעורו של המערער על גזר דינו של בית משפט השלום</w:t>
      </w:r>
      <w:r>
        <w:rPr>
          <w:rFonts w:cs="David" w:ascii="David" w:hAnsi="David"/>
          <w:rtl w:val="true"/>
        </w:rPr>
        <w:t xml:space="preserve">, </w:t>
      </w:r>
      <w:r>
        <w:rPr>
          <w:rFonts w:ascii="David" w:hAnsi="David"/>
          <w:rtl w:val="true"/>
        </w:rPr>
        <w:t>והפחית שלושה חודשים מתקופת מאסרו</w:t>
      </w:r>
      <w:r>
        <w:rPr>
          <w:rFonts w:cs="David" w:ascii="David" w:hAnsi="David"/>
          <w:rtl w:val="true"/>
        </w:rPr>
        <w:t xml:space="preserve">, </w:t>
      </w:r>
      <w:r>
        <w:rPr>
          <w:rFonts w:ascii="David" w:hAnsi="David"/>
          <w:rtl w:val="true"/>
        </w:rPr>
        <w:t xml:space="preserve">כך שבמקום </w:t>
      </w:r>
      <w:r>
        <w:rPr>
          <w:rFonts w:cs="David" w:ascii="David" w:hAnsi="David"/>
        </w:rPr>
        <w:t>15</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יעמוד עונשו על </w:t>
      </w:r>
      <w:r>
        <w:rPr>
          <w:rFonts w:cs="David" w:ascii="David" w:hAnsi="David"/>
          <w:b/>
          <w:bCs/>
        </w:rPr>
        <w:t>12</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לפי עובדות המקרה</w:t>
      </w:r>
      <w:r>
        <w:rPr>
          <w:rFonts w:cs="David" w:ascii="David" w:hAnsi="David"/>
          <w:rtl w:val="true"/>
        </w:rPr>
        <w:t xml:space="preserve">, </w:t>
      </w:r>
      <w:r>
        <w:rPr>
          <w:rFonts w:ascii="David" w:hAnsi="David"/>
          <w:rtl w:val="true"/>
        </w:rPr>
        <w:t>לאחר ניהול הליך הוכחות</w:t>
      </w:r>
      <w:r>
        <w:rPr>
          <w:rFonts w:cs="David" w:ascii="David" w:hAnsi="David"/>
          <w:rtl w:val="true"/>
        </w:rPr>
        <w:t xml:space="preserve">, </w:t>
      </w:r>
      <w:r>
        <w:rPr>
          <w:rFonts w:ascii="David" w:hAnsi="David"/>
          <w:rtl w:val="true"/>
        </w:rPr>
        <w:t xml:space="preserve">הורשע המערער בביצוע עבירה של החזקת נשק ותחמושת לפי </w:t>
      </w:r>
      <w:hyperlink r:id="rId20">
        <w:r>
          <w:rPr>
            <w:rStyle w:val="Hyperlink"/>
            <w:rFonts w:ascii="David" w:hAnsi="David"/>
            <w:color w:val="0000FF"/>
            <w:u w:val="single"/>
            <w:rtl w:val="true"/>
          </w:rPr>
          <w:t xml:space="preserve">סעיף </w:t>
        </w:r>
        <w:r>
          <w:rPr>
            <w:rStyle w:val="Hyperlink"/>
            <w:rFonts w:cs="David" w:ascii="David" w:hAnsi="David"/>
            <w:color w:val="0000FF"/>
            <w:u w:val="single"/>
          </w:rPr>
          <w:t>144</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 xml:space="preserve">רישא </w:t>
      </w:r>
      <w:r>
        <w:rPr>
          <w:rFonts w:cs="David" w:ascii="David" w:hAnsi="David"/>
          <w:rtl w:val="true"/>
        </w:rPr>
        <w:t xml:space="preserve">+ </w:t>
      </w:r>
      <w:r>
        <w:rPr>
          <w:rFonts w:ascii="David" w:hAnsi="David"/>
          <w:rtl w:val="true"/>
        </w:rPr>
        <w:t>סיפא לחוק</w:t>
      </w:r>
      <w:r>
        <w:rPr>
          <w:rFonts w:cs="David" w:ascii="David" w:hAnsi="David"/>
          <w:rtl w:val="true"/>
        </w:rPr>
        <w:t xml:space="preserve">, </w:t>
      </w:r>
      <w:r>
        <w:rPr>
          <w:rFonts w:ascii="David" w:hAnsi="David"/>
          <w:rtl w:val="true"/>
        </w:rPr>
        <w:t xml:space="preserve">בעקבות החזקתו באקדח חצי אוטומטי מסוג </w:t>
      </w:r>
      <w:r>
        <w:rPr>
          <w:rFonts w:cs="David" w:ascii="David" w:hAnsi="David"/>
          <w:rtl w:val="true"/>
        </w:rPr>
        <w:t>"</w:t>
      </w:r>
      <w:r>
        <w:rPr>
          <w:rFonts w:ascii="David" w:hAnsi="David"/>
          <w:rtl w:val="true"/>
        </w:rPr>
        <w:t>ברטה</w:t>
      </w:r>
      <w:r>
        <w:rPr>
          <w:rFonts w:cs="David" w:ascii="David" w:hAnsi="David"/>
          <w:rtl w:val="true"/>
        </w:rPr>
        <w:t xml:space="preserve">"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שנמצא מתחת לכיסא נהג הרכב אותו החזיק</w:t>
      </w:r>
      <w:r>
        <w:rPr>
          <w:rFonts w:cs="David" w:ascii="David" w:hAnsi="David"/>
          <w:rtl w:val="true"/>
        </w:rPr>
        <w:t xml:space="preserve">, </w:t>
      </w:r>
      <w:r>
        <w:rPr>
          <w:rFonts w:ascii="David" w:hAnsi="David"/>
          <w:rtl w:val="true"/>
        </w:rPr>
        <w:t>בצירוף מחסנית ובה כדורים</w:t>
      </w:r>
      <w:r>
        <w:rPr>
          <w:rFonts w:cs="David" w:ascii="David" w:hAnsi="David"/>
          <w:rtl w:val="true"/>
        </w:rPr>
        <w:t xml:space="preserve">. </w:t>
      </w:r>
      <w:r>
        <w:rPr>
          <w:rFonts w:ascii="David" w:hAnsi="David"/>
          <w:rtl w:val="true"/>
        </w:rPr>
        <w:t xml:space="preserve">ההפחתה בעונשו של המערער הייתה בבחינת </w:t>
      </w:r>
      <w:r>
        <w:rPr>
          <w:rFonts w:cs="David" w:ascii="David" w:hAnsi="David"/>
          <w:rtl w:val="true"/>
        </w:rPr>
        <w:t>"</w:t>
      </w:r>
      <w:r>
        <w:rPr>
          <w:rFonts w:ascii="David" w:hAnsi="David"/>
          <w:rtl w:val="true"/>
        </w:rPr>
        <w:t>לפנים משורת הדין</w:t>
      </w:r>
      <w:r>
        <w:rPr>
          <w:rFonts w:cs="David" w:ascii="David" w:hAnsi="David"/>
          <w:rtl w:val="true"/>
        </w:rPr>
        <w:t xml:space="preserve">", </w:t>
      </w:r>
      <w:r>
        <w:rPr>
          <w:rFonts w:ascii="David" w:hAnsi="David"/>
          <w:rtl w:val="true"/>
        </w:rPr>
        <w:t>והתבססה בין היתר על נסיבות חייו האישיות</w:t>
      </w:r>
      <w:r>
        <w:rPr>
          <w:rFonts w:cs="David" w:ascii="David" w:hAnsi="David"/>
          <w:rtl w:val="true"/>
        </w:rPr>
        <w:t>-</w:t>
      </w:r>
      <w:r>
        <w:rPr>
          <w:rFonts w:ascii="David" w:hAnsi="David"/>
          <w:rtl w:val="true"/>
        </w:rPr>
        <w:t>משפחתיות של המערער</w:t>
      </w:r>
      <w:r>
        <w:rPr>
          <w:rFonts w:cs="David" w:ascii="David" w:hAnsi="David"/>
          <w:rtl w:val="true"/>
        </w:rPr>
        <w:t xml:space="preserve">, </w:t>
      </w:r>
      <w:r>
        <w:rPr>
          <w:rFonts w:ascii="David" w:hAnsi="David"/>
          <w:rtl w:val="true"/>
        </w:rPr>
        <w:t>תרומתו למדינה ולקהילה בה הוא חי</w:t>
      </w:r>
      <w:r>
        <w:rPr>
          <w:rFonts w:cs="David" w:ascii="David" w:hAnsi="David"/>
          <w:rtl w:val="true"/>
        </w:rPr>
        <w:t xml:space="preserve">, </w:t>
      </w:r>
      <w:r>
        <w:rPr>
          <w:rFonts w:ascii="David" w:hAnsi="David"/>
          <w:rtl w:val="true"/>
        </w:rPr>
        <w:t>העדר עבר פלילי והעובדה שלאחר מתן גזר הדין</w:t>
      </w:r>
      <w:r>
        <w:rPr>
          <w:rFonts w:cs="David" w:ascii="David" w:hAnsi="David"/>
          <w:rtl w:val="true"/>
        </w:rPr>
        <w:t xml:space="preserve">, </w:t>
      </w:r>
      <w:r>
        <w:rPr>
          <w:rFonts w:ascii="David" w:hAnsi="David"/>
          <w:rtl w:val="true"/>
        </w:rPr>
        <w:t>החליט בית משפט השלום גם לחלט את רכבו ששוויו עשרות אלפי שקלים</w:t>
      </w:r>
      <w:r>
        <w:rPr>
          <w:rFonts w:cs="David" w:ascii="David" w:hAnsi="David"/>
          <w:rtl w:val="true"/>
        </w:rPr>
        <w:t xml:space="preserve">, </w:t>
      </w:r>
      <w:r>
        <w:rPr>
          <w:rFonts w:ascii="David" w:hAnsi="David"/>
          <w:rtl w:val="true"/>
        </w:rPr>
        <w:t>נתונים שאינם מתקיימים בעניינו</w:t>
      </w:r>
      <w:r>
        <w:rPr>
          <w:rFonts w:cs="David" w:ascii="David" w:hAnsi="David"/>
          <w:rtl w:val="true"/>
        </w:rPr>
        <w:t xml:space="preserve">, </w:t>
      </w:r>
      <w:r>
        <w:rPr>
          <w:rFonts w:ascii="David" w:hAnsi="David"/>
          <w:rtl w:val="true"/>
        </w:rPr>
        <w:t>בין היתר</w:t>
      </w:r>
      <w:r>
        <w:rPr>
          <w:rFonts w:cs="David" w:ascii="David" w:hAnsi="David"/>
          <w:rtl w:val="true"/>
        </w:rPr>
        <w:t>,</w:t>
      </w:r>
      <w:r>
        <w:rPr>
          <w:rFonts w:cs="David" w:ascii="David" w:hAnsi="David"/>
          <w:rtl w:val="true"/>
        </w:rPr>
        <w:t xml:space="preserve"> </w:t>
      </w:r>
      <w:r>
        <w:rPr>
          <w:rFonts w:ascii="David" w:hAnsi="David"/>
          <w:rtl w:val="true"/>
        </w:rPr>
        <w:t xml:space="preserve">בשים לב לעברו הפלילי הכבד של נאשם </w:t>
      </w:r>
      <w:r>
        <w:rPr>
          <w:rFonts w:cs="David" w:ascii="David" w:hAnsi="David"/>
        </w:rPr>
        <w:t>2</w:t>
      </w:r>
      <w:r>
        <w:rPr>
          <w:rFonts w:cs="David" w:ascii="David" w:hAnsi="David"/>
          <w:rtl w:val="true"/>
        </w:rPr>
        <w:t xml:space="preserve"> </w:t>
      </w:r>
      <w:r>
        <w:rPr>
          <w:rFonts w:ascii="David" w:hAnsi="David"/>
          <w:rtl w:val="true"/>
        </w:rPr>
        <w:t>ולהיעדר נתונים חיובים דוגמת נתוניו של המערער במקרה זה</w:t>
      </w:r>
      <w:r>
        <w:rPr>
          <w:rFonts w:cs="David" w:ascii="David" w:hAnsi="David"/>
          <w:rtl w:val="true"/>
        </w:rPr>
        <w:t>.</w:t>
      </w:r>
    </w:p>
    <w:p>
      <w:pPr>
        <w:pStyle w:val="Normal"/>
        <w:spacing w:lineRule="auto" w:line="360"/>
        <w:ind w:end="0"/>
        <w:jc w:val="both"/>
        <w:rPr>
          <w:rFonts w:ascii="David" w:hAnsi="David" w:eastAsia="David" w:cs="David"/>
        </w:rPr>
      </w:pPr>
      <w:r>
        <w:rPr>
          <w:rFonts w:eastAsia="David" w:cs="David" w:ascii="David" w:hAnsi="David"/>
          <w:rtl w:val="true"/>
        </w:rPr>
        <w:t xml:space="preserve">  </w:t>
      </w:r>
    </w:p>
    <w:p>
      <w:pPr>
        <w:pStyle w:val="Normal"/>
        <w:spacing w:lineRule="auto" w:line="360"/>
        <w:ind w:end="0"/>
        <w:jc w:val="both"/>
        <w:rPr/>
      </w:pPr>
      <w:r>
        <w:rPr>
          <w:rFonts w:ascii="David" w:hAnsi="David"/>
          <w:rtl w:val="true"/>
        </w:rPr>
        <w:t>מעשי הנאשמים בענייננו</w:t>
      </w:r>
      <w:r>
        <w:rPr>
          <w:rFonts w:cs="David" w:ascii="David" w:hAnsi="David"/>
          <w:rtl w:val="true"/>
        </w:rPr>
        <w:t xml:space="preserve">, </w:t>
      </w:r>
      <w:r>
        <w:rPr>
          <w:rFonts w:ascii="David" w:hAnsi="David"/>
          <w:rtl w:val="true"/>
        </w:rPr>
        <w:t xml:space="preserve">טומנים בחובם חומרה לפגיעה לא מבוטלת בתחושת הביטחון הבסיסית </w:t>
      </w:r>
      <w:r>
        <w:rPr>
          <w:rFonts w:ascii="David" w:hAnsi="David"/>
          <w:rtl w:val="true"/>
        </w:rPr>
        <w:t xml:space="preserve">של </w:t>
      </w:r>
      <w:r>
        <w:rPr>
          <w:rFonts w:ascii="David" w:hAnsi="David"/>
          <w:rtl w:val="true"/>
        </w:rPr>
        <w:t>המשפחה</w:t>
      </w:r>
      <w:r>
        <w:rPr>
          <w:rFonts w:cs="David" w:ascii="David" w:hAnsi="David"/>
          <w:rtl w:val="true"/>
        </w:rPr>
        <w:t xml:space="preserve">, </w:t>
      </w:r>
      <w:r>
        <w:rPr>
          <w:rFonts w:ascii="David" w:hAnsi="David"/>
          <w:rtl w:val="true"/>
        </w:rPr>
        <w:t>ולכן</w:t>
      </w:r>
      <w:r>
        <w:rPr>
          <w:rFonts w:cs="David" w:ascii="David" w:hAnsi="David"/>
          <w:rtl w:val="true"/>
        </w:rPr>
        <w:t xml:space="preserve">, </w:t>
      </w:r>
      <w:r>
        <w:rPr>
          <w:rFonts w:ascii="David" w:hAnsi="David"/>
          <w:rtl w:val="true"/>
        </w:rPr>
        <w:t xml:space="preserve">הנני קובעת כי עוצמת הפגיעה בערכים המוגנים </w:t>
      </w:r>
      <w:r>
        <w:rPr>
          <w:rFonts w:ascii="David" w:hAnsi="David"/>
          <w:rtl w:val="true"/>
        </w:rPr>
        <w:t xml:space="preserve">במקרה זה </w:t>
      </w:r>
      <w:r>
        <w:rPr>
          <w:rFonts w:ascii="David" w:hAnsi="David"/>
          <w:rtl w:val="true"/>
        </w:rPr>
        <w:t>היא בינונית</w:t>
      </w:r>
      <w:r>
        <w:rPr>
          <w:rFonts w:cs="David" w:ascii="David" w:hAnsi="David"/>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u w:val="single"/>
        </w:rPr>
      </w:pPr>
      <w:r>
        <w:rPr>
          <w:rFonts w:ascii="David" w:hAnsi="David"/>
          <w:u w:val="single"/>
          <w:rtl w:val="true"/>
        </w:rPr>
        <w:t>מתחם העונש ההולם</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ascii="David" w:hAnsi="David"/>
          <w:rtl w:val="true"/>
        </w:rPr>
        <w:t>לאור כול האמור לעיל</w:t>
      </w:r>
      <w:r>
        <w:rPr>
          <w:rFonts w:cs="David" w:ascii="David" w:hAnsi="David"/>
          <w:rtl w:val="true"/>
        </w:rPr>
        <w:t xml:space="preserve">, </w:t>
      </w:r>
      <w:r>
        <w:rPr>
          <w:rFonts w:ascii="David" w:hAnsi="David"/>
          <w:rtl w:val="true"/>
        </w:rPr>
        <w:t>בשים לב לערכים החברתיים שנפגעו ולעוצמת הפגיעה בהם</w:t>
      </w:r>
      <w:r>
        <w:rPr>
          <w:rFonts w:cs="David" w:ascii="David" w:hAnsi="David"/>
          <w:rtl w:val="true"/>
        </w:rPr>
        <w:t xml:space="preserve">, </w:t>
      </w:r>
      <w:r>
        <w:rPr>
          <w:rFonts w:ascii="David" w:hAnsi="David"/>
          <w:rtl w:val="true"/>
        </w:rPr>
        <w:t>תוך מתן משקל למכלול נסיבות האירוע</w:t>
      </w:r>
      <w:r>
        <w:rPr>
          <w:rFonts w:cs="David" w:ascii="David" w:hAnsi="David"/>
          <w:rtl w:val="true"/>
        </w:rPr>
        <w:t xml:space="preserve">, </w:t>
      </w:r>
      <w:r>
        <w:rPr>
          <w:rFonts w:ascii="David" w:hAnsi="David"/>
          <w:rtl w:val="true"/>
        </w:rPr>
        <w:t>ולאחר בחינת מדיניות הענישה הנוהגת</w:t>
      </w:r>
      <w:r>
        <w:rPr>
          <w:rFonts w:cs="David" w:ascii="David" w:hAnsi="David"/>
          <w:rtl w:val="true"/>
        </w:rPr>
        <w:t xml:space="preserve">, </w:t>
      </w:r>
      <w:r>
        <w:rPr>
          <w:rFonts w:ascii="David" w:hAnsi="David"/>
          <w:rtl w:val="true"/>
        </w:rPr>
        <w:t xml:space="preserve">הנני קובעת כי מתחם העונש לגבי נאשם </w:t>
      </w:r>
      <w:r>
        <w:rPr>
          <w:rFonts w:cs="David" w:ascii="David" w:hAnsi="David"/>
        </w:rPr>
        <w:t>1</w:t>
      </w:r>
      <w:r>
        <w:rPr>
          <w:rFonts w:cs="David" w:ascii="David" w:hAnsi="David"/>
          <w:rtl w:val="true"/>
        </w:rPr>
        <w:t xml:space="preserve"> </w:t>
      </w:r>
      <w:r>
        <w:rPr>
          <w:rFonts w:ascii="David" w:hAnsi="David"/>
          <w:rtl w:val="true"/>
        </w:rPr>
        <w:t xml:space="preserve">נע בין </w:t>
      </w:r>
      <w:r>
        <w:rPr>
          <w:rFonts w:cs="David" w:ascii="David" w:hAnsi="David"/>
        </w:rPr>
        <w:t>5-10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ולגבי נאשם </w:t>
      </w:r>
      <w:r>
        <w:rPr>
          <w:rFonts w:cs="David" w:ascii="David" w:hAnsi="David"/>
        </w:rPr>
        <w:t>2</w:t>
      </w:r>
      <w:r>
        <w:rPr>
          <w:rFonts w:cs="David" w:ascii="David" w:hAnsi="David"/>
          <w:rtl w:val="true"/>
        </w:rPr>
        <w:t xml:space="preserve"> </w:t>
      </w:r>
      <w:r>
        <w:rPr>
          <w:rFonts w:ascii="David" w:hAnsi="David"/>
          <w:rtl w:val="true"/>
        </w:rPr>
        <w:t xml:space="preserve">מתחם העונש נע בין נע בין </w:t>
      </w:r>
      <w:r>
        <w:rPr>
          <w:rFonts w:cs="David" w:ascii="David" w:hAnsi="David"/>
        </w:rPr>
        <w:t>12</w:t>
      </w:r>
      <w:r>
        <w:rPr>
          <w:rFonts w:cs="David" w:ascii="David" w:hAnsi="David"/>
          <w:rtl w:val="true"/>
        </w:rPr>
        <w:t xml:space="preserve">- </w:t>
      </w:r>
      <w:r>
        <w:rPr>
          <w:rFonts w:cs="David" w:ascii="David" w:hAnsi="David"/>
        </w:rPr>
        <w:t>24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כיבוד ההסדר</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pPr>
      <w:r>
        <w:rPr>
          <w:rFonts w:ascii="David" w:hAnsi="David"/>
          <w:rtl w:val="true"/>
        </w:rPr>
        <w:t>בפסיקה נקבע</w:t>
      </w:r>
      <w:r>
        <w:rPr>
          <w:rFonts w:cs="David" w:ascii="David" w:hAnsi="David"/>
          <w:rtl w:val="true"/>
        </w:rPr>
        <w:t xml:space="preserve">, </w:t>
      </w:r>
      <w:r>
        <w:rPr>
          <w:rFonts w:ascii="David" w:hAnsi="David"/>
          <w:rtl w:val="true"/>
        </w:rPr>
        <w:t>כי בתי המשפט אינם מתייחסים עוד להסדרי טיעון כאל הכרח בל יגונה</w:t>
      </w:r>
      <w:r>
        <w:rPr>
          <w:rFonts w:cs="David" w:ascii="David" w:hAnsi="David"/>
          <w:rtl w:val="true"/>
        </w:rPr>
        <w:t xml:space="preserve">, </w:t>
      </w:r>
      <w:r>
        <w:rPr>
          <w:rFonts w:ascii="David" w:hAnsi="David"/>
          <w:rtl w:val="true"/>
        </w:rPr>
        <w:t>אלא מכירים בערכם ובתרומתם</w:t>
      </w:r>
      <w:r>
        <w:rPr>
          <w:rFonts w:cs="David" w:ascii="David" w:hAnsi="David"/>
          <w:rtl w:val="true"/>
        </w:rPr>
        <w:t xml:space="preserve">, </w:t>
      </w:r>
      <w:r>
        <w:rPr>
          <w:rFonts w:ascii="David" w:hAnsi="David"/>
          <w:rtl w:val="true"/>
        </w:rPr>
        <w:t>לא רק כצורך מעשי</w:t>
      </w:r>
      <w:r>
        <w:rPr>
          <w:rFonts w:cs="David" w:ascii="David" w:hAnsi="David"/>
          <w:rtl w:val="true"/>
        </w:rPr>
        <w:t xml:space="preserve">, </w:t>
      </w:r>
      <w:r>
        <w:rPr>
          <w:rFonts w:ascii="David" w:hAnsi="David"/>
          <w:rtl w:val="true"/>
        </w:rPr>
        <w:t>אלא גם כמוסד שיש לו הצדקה רעיונית כחלק משיטת משפטנו</w:t>
      </w:r>
      <w:r>
        <w:rPr>
          <w:rFonts w:cs="David" w:ascii="David" w:hAnsi="David"/>
          <w:rtl w:val="true"/>
        </w:rPr>
        <w:t>,</w:t>
      </w:r>
      <w:r>
        <w:rPr>
          <w:rFonts w:cs="David" w:ascii="David" w:hAnsi="David"/>
          <w:rtl w:val="true"/>
        </w:rPr>
        <w:t xml:space="preserve"> </w:t>
      </w:r>
      <w:r>
        <w:rPr>
          <w:rFonts w:ascii="David" w:hAnsi="David"/>
          <w:rtl w:val="true"/>
        </w:rPr>
        <w:t>ושיש אינטרס ציבורי בקיומו</w:t>
      </w:r>
      <w:r>
        <w:rPr>
          <w:rFonts w:cs="David" w:ascii="David" w:hAnsi="David"/>
          <w:rtl w:val="true"/>
        </w:rPr>
        <w:t>.</w:t>
      </w:r>
      <w:r>
        <w:rPr>
          <w:rFonts w:cs="David" w:ascii="David" w:hAnsi="David"/>
          <w:b/>
          <w:bCs/>
          <w:rtl w:val="true"/>
        </w:rPr>
        <w:t xml:space="preserve"> </w:t>
      </w:r>
      <w:r>
        <w:rPr>
          <w:rFonts w:ascii="David" w:hAnsi="David"/>
          <w:rtl w:val="true"/>
        </w:rPr>
        <w:t>רבות נכתב על יתרונותיו של הסדר הטיעון ועל תפקידו הראוי</w:t>
      </w:r>
      <w:r>
        <w:rPr>
          <w:rFonts w:cs="David" w:ascii="David" w:hAnsi="David"/>
          <w:rtl w:val="true"/>
        </w:rPr>
        <w:t xml:space="preserve">, </w:t>
      </w:r>
      <w:r>
        <w:rPr>
          <w:rFonts w:ascii="David" w:hAnsi="David"/>
          <w:rtl w:val="true"/>
        </w:rPr>
        <w:t>במקרים מתאימים</w:t>
      </w:r>
      <w:r>
        <w:rPr>
          <w:rFonts w:cs="David" w:ascii="David" w:hAnsi="David"/>
          <w:rtl w:val="true"/>
        </w:rPr>
        <w:t xml:space="preserve">, </w:t>
      </w:r>
      <w:r>
        <w:rPr>
          <w:rFonts w:ascii="David" w:hAnsi="David"/>
          <w:rtl w:val="true"/>
        </w:rPr>
        <w:t>במסגרת האכיפה הפלילית</w:t>
      </w:r>
      <w:r>
        <w:rPr>
          <w:rFonts w:cs="David" w:ascii="David" w:hAnsi="David"/>
          <w:rtl w:val="true"/>
        </w:rPr>
        <w:t xml:space="preserve">. </w:t>
      </w:r>
      <w:r>
        <w:rPr>
          <w:rFonts w:ascii="David" w:hAnsi="David"/>
          <w:rtl w:val="true"/>
        </w:rPr>
        <w:t>יתרונות המיטיבים הן עם ה</w:t>
      </w:r>
      <w:r>
        <w:rPr>
          <w:rFonts w:ascii="David" w:hAnsi="David"/>
          <w:rtl w:val="true"/>
        </w:rPr>
        <w:t>ציבור</w:t>
      </w:r>
      <w:r>
        <w:rPr>
          <w:rFonts w:ascii="David" w:hAnsi="David"/>
          <w:rtl w:val="true"/>
        </w:rPr>
        <w:t xml:space="preserve"> והן עם הנאשם </w:t>
      </w:r>
      <w:r>
        <w:rPr>
          <w:rFonts w:ascii="David" w:hAnsi="David"/>
          <w:rtl w:val="true"/>
        </w:rPr>
        <w:t>ש</w:t>
      </w:r>
      <w:r>
        <w:rPr>
          <w:rFonts w:ascii="David" w:hAnsi="David"/>
          <w:rtl w:val="true"/>
        </w:rPr>
        <w:t>זוכה לוודאות באשר לסעיפי הרשעתו ועונשו וכול זאת במסגרת הליך שהוא קצר יחסית</w:t>
      </w:r>
      <w:r>
        <w:rPr>
          <w:rFonts w:cs="David" w:ascii="David" w:hAnsi="David"/>
          <w:rtl w:val="true"/>
        </w:rPr>
        <w:t xml:space="preserve">, </w:t>
      </w:r>
      <w:r>
        <w:rPr>
          <w:rFonts w:ascii="David" w:hAnsi="David"/>
          <w:rtl w:val="true"/>
        </w:rPr>
        <w:t>והאינטרס הציבורי מוגשם אף הוא בהרשעה של עבריינים ובהגשמת עקרונות של יעילות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w:t>
      </w:r>
      <w:r>
        <w:rPr>
          <w:rFonts w:ascii="David" w:hAnsi="David"/>
          <w:rtl w:val="true"/>
        </w:rPr>
        <w:t xml:space="preserve">בחינת הסדר הטיעון שהוצג בפני על רקע </w:t>
      </w:r>
      <w:r>
        <w:rPr>
          <w:rFonts w:ascii="David" w:hAnsi="David"/>
          <w:rtl w:val="true"/>
        </w:rPr>
        <w:t xml:space="preserve">כלל </w:t>
      </w:r>
      <w:r>
        <w:rPr>
          <w:rFonts w:ascii="David" w:hAnsi="David"/>
          <w:rtl w:val="true"/>
        </w:rPr>
        <w:t xml:space="preserve">השיקולים </w:t>
      </w:r>
      <w:r>
        <w:rPr>
          <w:rFonts w:ascii="David" w:hAnsi="David"/>
          <w:rtl w:val="true"/>
        </w:rPr>
        <w:t xml:space="preserve">והנסיבות </w:t>
      </w:r>
      <w:r>
        <w:rPr>
          <w:rFonts w:ascii="David" w:hAnsi="David"/>
          <w:rtl w:val="true"/>
        </w:rPr>
        <w:t xml:space="preserve">שהנחו את הצדדים בגיבושו </w:t>
      </w:r>
      <w:r>
        <w:rPr>
          <w:rFonts w:ascii="David" w:hAnsi="David"/>
          <w:rtl w:val="true"/>
        </w:rPr>
        <w:t xml:space="preserve"> השתכנעתי</w:t>
      </w:r>
      <w:r>
        <w:rPr>
          <w:rFonts w:cs="David" w:ascii="David" w:hAnsi="David"/>
          <w:rtl w:val="true"/>
        </w:rPr>
        <w:t xml:space="preserve">, </w:t>
      </w:r>
      <w:r>
        <w:rPr>
          <w:rFonts w:ascii="David" w:hAnsi="David"/>
          <w:rtl w:val="true"/>
        </w:rPr>
        <w:t xml:space="preserve">שמדובר בהסדר </w:t>
      </w:r>
      <w:r>
        <w:rPr>
          <w:rFonts w:ascii="David" w:hAnsi="David"/>
          <w:rtl w:val="true"/>
        </w:rPr>
        <w:t xml:space="preserve">טיעון </w:t>
      </w:r>
      <w:r>
        <w:rPr>
          <w:rFonts w:ascii="David" w:hAnsi="David"/>
          <w:rtl w:val="true"/>
        </w:rPr>
        <w:t xml:space="preserve">ראוי </w:t>
      </w:r>
      <w:r>
        <w:rPr>
          <w:rFonts w:ascii="David" w:hAnsi="David"/>
          <w:rtl w:val="true"/>
        </w:rPr>
        <w:t xml:space="preserve">ומאוזן </w:t>
      </w:r>
      <w:r>
        <w:rPr>
          <w:rFonts w:ascii="David" w:hAnsi="David"/>
          <w:rtl w:val="true"/>
        </w:rPr>
        <w:t>ש</w:t>
      </w:r>
      <w:r>
        <w:rPr>
          <w:rFonts w:ascii="David" w:hAnsi="David"/>
          <w:rtl w:val="true"/>
        </w:rPr>
        <w:t>יש</w:t>
      </w:r>
      <w:r>
        <w:rPr>
          <w:rFonts w:ascii="David" w:hAnsi="David"/>
          <w:rtl w:val="true"/>
        </w:rPr>
        <w:t xml:space="preserve"> לכבדו</w:t>
      </w:r>
      <w:r>
        <w:rPr>
          <w:rFonts w:cs="David" w:ascii="David" w:hAnsi="David"/>
          <w:rtl w:val="true"/>
        </w:rPr>
        <w:t xml:space="preserve">. </w:t>
      </w:r>
      <w:r>
        <w:rPr>
          <w:rFonts w:ascii="David" w:hAnsi="David"/>
          <w:rtl w:val="true"/>
        </w:rPr>
        <w:t xml:space="preserve">באימוץ עתירת הצדדים </w:t>
      </w:r>
      <w:r>
        <w:rPr>
          <w:rFonts w:ascii="David" w:hAnsi="David"/>
          <w:rtl w:val="true"/>
        </w:rPr>
        <w:t xml:space="preserve">לעונש </w:t>
      </w:r>
      <w:r>
        <w:rPr>
          <w:rFonts w:ascii="David" w:hAnsi="David"/>
          <w:rtl w:val="true"/>
        </w:rPr>
        <w:t>עמדו לנגד עיני</w:t>
      </w:r>
      <w:r>
        <w:rPr>
          <w:rFonts w:cs="David" w:ascii="David" w:hAnsi="David"/>
          <w:rtl w:val="true"/>
        </w:rPr>
        <w:t xml:space="preserve">, </w:t>
      </w:r>
      <w:r>
        <w:rPr>
          <w:rFonts w:ascii="David" w:hAnsi="David"/>
          <w:rtl w:val="true"/>
        </w:rPr>
        <w:t>התיקון המשמעותי בחומרת כתב האישום</w:t>
      </w:r>
      <w:r>
        <w:rPr>
          <w:rFonts w:cs="David" w:ascii="David" w:hAnsi="David"/>
          <w:rtl w:val="true"/>
        </w:rPr>
        <w:t xml:space="preserve">, </w:t>
      </w:r>
      <w:r>
        <w:rPr>
          <w:rFonts w:ascii="David" w:hAnsi="David"/>
          <w:rtl w:val="true"/>
        </w:rPr>
        <w:t xml:space="preserve">הודאת הנאשמים המגלמת </w:t>
      </w:r>
      <w:r>
        <w:rPr>
          <w:rFonts w:ascii="David" w:hAnsi="David"/>
          <w:rtl w:val="true"/>
        </w:rPr>
        <w:t xml:space="preserve">בחובה </w:t>
      </w:r>
      <w:r>
        <w:rPr>
          <w:rFonts w:ascii="David" w:hAnsi="David"/>
          <w:rtl w:val="true"/>
        </w:rPr>
        <w:t>נטילת אחריות על מעשיהם</w:t>
      </w:r>
      <w:r>
        <w:rPr>
          <w:rFonts w:cs="David" w:ascii="David" w:hAnsi="David"/>
          <w:rtl w:val="true"/>
        </w:rPr>
        <w:t xml:space="preserve">, </w:t>
      </w:r>
      <w:r>
        <w:rPr>
          <w:rFonts w:ascii="David" w:hAnsi="David"/>
          <w:rtl w:val="true"/>
        </w:rPr>
        <w:t>החיסכון הניכר בזמן שיפוטי בהתחשב בכך שפרשת התביעה עדיין בעיצומ</w:t>
      </w:r>
      <w:r>
        <w:rPr>
          <w:rFonts w:ascii="David" w:hAnsi="David"/>
          <w:rtl w:val="true"/>
        </w:rPr>
        <w:t>ה</w:t>
      </w:r>
      <w:r>
        <w:rPr>
          <w:rFonts w:cs="David" w:ascii="David" w:hAnsi="David"/>
          <w:rtl w:val="true"/>
        </w:rPr>
        <w:t xml:space="preserve">, </w:t>
      </w:r>
      <w:r>
        <w:rPr>
          <w:rFonts w:cs="David" w:ascii="David" w:hAnsi="David"/>
          <w:rtl w:val="true"/>
        </w:rPr>
        <w:t xml:space="preserve"> </w:t>
      </w:r>
      <w:r>
        <w:rPr>
          <w:rFonts w:ascii="David" w:hAnsi="David"/>
          <w:rtl w:val="true"/>
        </w:rPr>
        <w:t>ו</w:t>
      </w:r>
      <w:r>
        <w:rPr>
          <w:rFonts w:ascii="David" w:hAnsi="David"/>
          <w:rtl w:val="true"/>
        </w:rPr>
        <w:t xml:space="preserve">לכול אלה מצטרפים </w:t>
      </w:r>
      <w:r>
        <w:rPr>
          <w:rFonts w:ascii="David" w:hAnsi="David"/>
          <w:rtl w:val="true"/>
        </w:rPr>
        <w:t>הקשיים הראייתיים</w:t>
      </w:r>
      <w:r>
        <w:rPr>
          <w:rFonts w:ascii="David" w:hAnsi="David"/>
          <w:rtl w:val="true"/>
        </w:rPr>
        <w:t xml:space="preserve"> </w:t>
      </w:r>
      <w:r>
        <w:rPr>
          <w:rFonts w:ascii="David" w:hAnsi="David"/>
          <w:rtl w:val="true"/>
        </w:rPr>
        <w:t>ש</w:t>
      </w:r>
      <w:r>
        <w:rPr>
          <w:rFonts w:ascii="David" w:hAnsi="David"/>
          <w:rtl w:val="true"/>
        </w:rPr>
        <w:t>ה</w:t>
      </w:r>
      <w:r>
        <w:rPr>
          <w:rFonts w:ascii="David" w:hAnsi="David"/>
          <w:rtl w:val="true"/>
        </w:rPr>
        <w:t xml:space="preserve">תגלו </w:t>
      </w:r>
      <w:r>
        <w:rPr>
          <w:rFonts w:ascii="David" w:hAnsi="David"/>
          <w:rtl w:val="true"/>
        </w:rPr>
        <w:t>ב</w:t>
      </w:r>
      <w:r>
        <w:rPr>
          <w:rFonts w:ascii="David" w:hAnsi="David"/>
          <w:rtl w:val="true"/>
        </w:rPr>
        <w:t>מהלך ההוכחות</w:t>
      </w:r>
      <w:r>
        <w:rPr>
          <w:rFonts w:cs="David" w:ascii="David" w:hAnsi="David"/>
          <w:rtl w:val="true"/>
        </w:rPr>
        <w:t xml:space="preserve">. </w:t>
      </w:r>
      <w:r>
        <w:rPr>
          <w:rFonts w:ascii="David" w:hAnsi="David"/>
          <w:rtl w:val="true"/>
        </w:rPr>
        <w:t>כמו כן</w:t>
      </w:r>
      <w:r>
        <w:rPr>
          <w:rFonts w:cs="David" w:ascii="David" w:hAnsi="David"/>
          <w:rtl w:val="true"/>
        </w:rPr>
        <w:t>,</w:t>
      </w:r>
      <w:r>
        <w:rPr>
          <w:rFonts w:cs="David" w:ascii="David" w:hAnsi="David"/>
          <w:rtl w:val="true"/>
        </w:rPr>
        <w:t xml:space="preserve"> </w:t>
      </w:r>
      <w:r>
        <w:rPr>
          <w:rFonts w:ascii="David" w:hAnsi="David"/>
          <w:rtl w:val="true"/>
        </w:rPr>
        <w:t>שיוויתי לנגד עיני את עברם של הנאשמים</w:t>
      </w:r>
      <w:r>
        <w:rPr>
          <w:rFonts w:cs="David" w:ascii="David" w:hAnsi="David"/>
          <w:rtl w:val="true"/>
        </w:rPr>
        <w:t xml:space="preserve">, </w:t>
      </w:r>
      <w:r>
        <w:rPr>
          <w:rFonts w:ascii="David" w:hAnsi="David"/>
          <w:rtl w:val="true"/>
        </w:rPr>
        <w:t xml:space="preserve">בעיקר בהתייחס לנאשם </w:t>
      </w:r>
      <w:r>
        <w:rPr>
          <w:rFonts w:cs="David" w:ascii="David" w:hAnsi="David"/>
        </w:rPr>
        <w:t>1</w:t>
      </w:r>
      <w:r>
        <w:rPr>
          <w:rFonts w:cs="David" w:ascii="David" w:hAnsi="David"/>
          <w:rtl w:val="true"/>
        </w:rPr>
        <w:t xml:space="preserve">. </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u w:val="single"/>
        </w:rPr>
      </w:pPr>
      <w:r>
        <w:rPr>
          <w:rFonts w:ascii="David" w:hAnsi="David"/>
          <w:b/>
          <w:b/>
          <w:bCs/>
          <w:u w:val="single"/>
          <w:rtl w:val="true"/>
        </w:rPr>
        <w:t>גזירת העונש</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ascii="David" w:hAnsi="David"/>
          <w:rtl w:val="true"/>
        </w:rPr>
        <w:t>אשר על כן</w:t>
      </w:r>
      <w:r>
        <w:rPr>
          <w:rFonts w:cs="David" w:ascii="David" w:hAnsi="David"/>
          <w:rtl w:val="true"/>
        </w:rPr>
        <w:t xml:space="preserve">, </w:t>
      </w:r>
      <w:r>
        <w:rPr>
          <w:rFonts w:ascii="David" w:hAnsi="David"/>
          <w:rtl w:val="true"/>
        </w:rPr>
        <w:t>בכבדי את הסדר הטיעון הנני גוזרת על הנאשמים את העונשים הבאים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b/>
          <w:b/>
          <w:bCs/>
          <w:u w:val="single"/>
          <w:rtl w:val="true"/>
        </w:rPr>
        <w:t xml:space="preserve">נאשם </w:t>
      </w:r>
      <w:r>
        <w:rPr>
          <w:rFonts w:cs="David" w:ascii="David" w:hAnsi="David"/>
          <w:b/>
          <w:bCs/>
          <w:u w:val="single"/>
        </w:rPr>
        <w:t>1</w:t>
      </w:r>
      <w:r>
        <w:rPr>
          <w:rFonts w:cs="David" w:ascii="David" w:hAnsi="David"/>
          <w:u w:val="single"/>
          <w:rtl w:val="true"/>
        </w:rPr>
        <w:t xml:space="preserve">  </w:t>
      </w:r>
    </w:p>
    <w:p>
      <w:pPr>
        <w:pStyle w:val="ListParagraph"/>
        <w:numPr>
          <w:ilvl w:val="0"/>
          <w:numId w:val="1"/>
        </w:numPr>
        <w:spacing w:lineRule="auto" w:line="360"/>
        <w:ind w:hanging="360" w:start="720" w:end="0"/>
        <w:jc w:val="both"/>
        <w:rPr>
          <w:rFonts w:ascii="David" w:hAnsi="David" w:cs="David"/>
          <w:sz w:val="24"/>
          <w:szCs w:val="24"/>
        </w:rPr>
      </w:pP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חודשי מאסר בפועל שמניינם מהיום</w:t>
      </w:r>
      <w:r>
        <w:rPr>
          <w:rFonts w:ascii="David" w:hAnsi="David" w:cs="David"/>
          <w:sz w:val="24"/>
          <w:sz w:val="24"/>
          <w:szCs w:val="24"/>
          <w:rtl w:val="true"/>
        </w:rPr>
        <w:t xml:space="preserve"> בניכוי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ימי מעצרו</w:t>
      </w:r>
      <w:r>
        <w:rPr>
          <w:rFonts w:cs="David" w:ascii="David" w:hAnsi="David"/>
          <w:sz w:val="24"/>
          <w:szCs w:val="24"/>
          <w:rtl w:val="true"/>
        </w:rPr>
        <w:t>.</w:t>
      </w:r>
    </w:p>
    <w:p>
      <w:pPr>
        <w:pStyle w:val="ListParagraph"/>
        <w:numPr>
          <w:ilvl w:val="0"/>
          <w:numId w:val="1"/>
        </w:numPr>
        <w:spacing w:lineRule="auto" w:line="360"/>
        <w:ind w:hanging="360" w:start="720" w:end="0"/>
        <w:jc w:val="both"/>
        <w:rPr>
          <w:rFonts w:ascii="David" w:hAnsi="David" w:cs="David"/>
          <w:sz w:val="24"/>
          <w:szCs w:val="24"/>
        </w:rPr>
      </w:pP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חודשי מע</w:t>
      </w:r>
      <w:r>
        <w:rPr>
          <w:rFonts w:cs="David" w:ascii="David" w:hAnsi="David"/>
          <w:sz w:val="24"/>
          <w:szCs w:val="24"/>
          <w:rtl w:val="true"/>
        </w:rPr>
        <w:t>"</w:t>
      </w:r>
      <w:r>
        <w:rPr>
          <w:rFonts w:ascii="David" w:hAnsi="David" w:cs="David"/>
          <w:sz w:val="24"/>
          <w:sz w:val="24"/>
          <w:szCs w:val="24"/>
          <w:rtl w:val="true"/>
        </w:rPr>
        <w:t>ת</w:t>
      </w:r>
      <w:r>
        <w:rPr>
          <w:rFonts w:cs="David" w:ascii="David" w:hAnsi="David"/>
          <w:sz w:val="24"/>
          <w:szCs w:val="24"/>
          <w:rtl w:val="true"/>
        </w:rPr>
        <w:t xml:space="preserve">, </w:t>
      </w:r>
      <w:r>
        <w:rPr>
          <w:rFonts w:ascii="David" w:hAnsi="David" w:cs="David"/>
          <w:sz w:val="24"/>
          <w:sz w:val="24"/>
          <w:szCs w:val="24"/>
          <w:rtl w:val="true"/>
        </w:rPr>
        <w:t>והתנאי הוא שהנאשם לא יעבור במשך שלוש שנים מיום שחרורו ממאסר על העבירות בהן הורשע</w:t>
      </w:r>
      <w:r>
        <w:rPr>
          <w:rFonts w:cs="David" w:ascii="David" w:hAnsi="David"/>
          <w:sz w:val="24"/>
          <w:szCs w:val="24"/>
          <w:rtl w:val="true"/>
        </w:rPr>
        <w:t>.</w:t>
      </w:r>
    </w:p>
    <w:p>
      <w:pPr>
        <w:pStyle w:val="Normal"/>
        <w:spacing w:lineRule="auto" w:line="360"/>
        <w:ind w:end="0"/>
        <w:jc w:val="both"/>
        <w:rPr>
          <w:rFonts w:ascii="David" w:hAnsi="David" w:cs="David"/>
          <w:b/>
          <w:bCs/>
          <w:u w:val="single"/>
        </w:rPr>
      </w:pPr>
      <w:r>
        <w:rPr>
          <w:rFonts w:ascii="David" w:hAnsi="David"/>
          <w:b/>
          <w:b/>
          <w:bCs/>
          <w:u w:val="single"/>
          <w:rtl w:val="true"/>
        </w:rPr>
        <w:t xml:space="preserve">נאשם </w:t>
      </w:r>
      <w:r>
        <w:rPr>
          <w:rFonts w:cs="David" w:ascii="David" w:hAnsi="David"/>
          <w:b/>
          <w:bCs/>
          <w:u w:val="single"/>
        </w:rPr>
        <w:t>2</w:t>
      </w:r>
    </w:p>
    <w:p>
      <w:pPr>
        <w:pStyle w:val="ListParagraph"/>
        <w:numPr>
          <w:ilvl w:val="0"/>
          <w:numId w:val="2"/>
        </w:numPr>
        <w:spacing w:lineRule="auto" w:line="360"/>
        <w:ind w:hanging="360" w:start="720" w:end="0"/>
        <w:jc w:val="both"/>
        <w:rPr>
          <w:rFonts w:ascii="David" w:hAnsi="David" w:cs="David"/>
          <w:sz w:val="24"/>
          <w:szCs w:val="24"/>
        </w:rPr>
      </w:pP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ascii="David" w:hAnsi="David" w:cs="David"/>
          <w:sz w:val="24"/>
          <w:sz w:val="24"/>
          <w:szCs w:val="24"/>
          <w:rtl w:val="true"/>
        </w:rPr>
        <w:t xml:space="preserve"> בניכוי </w:t>
      </w:r>
      <w:r>
        <w:rPr>
          <w:rFonts w:cs="David" w:ascii="David" w:hAnsi="David"/>
          <w:sz w:val="24"/>
          <w:szCs w:val="24"/>
        </w:rPr>
        <w:t>14</w:t>
      </w:r>
      <w:r>
        <w:rPr>
          <w:rFonts w:cs="David" w:ascii="David" w:hAnsi="David"/>
          <w:sz w:val="24"/>
          <w:szCs w:val="24"/>
          <w:rtl w:val="true"/>
        </w:rPr>
        <w:t xml:space="preserve"> </w:t>
      </w:r>
      <w:r>
        <w:rPr>
          <w:rFonts w:ascii="David" w:hAnsi="David" w:cs="David"/>
          <w:sz w:val="24"/>
          <w:sz w:val="24"/>
          <w:szCs w:val="24"/>
          <w:rtl w:val="true"/>
        </w:rPr>
        <w:t>ימי מעצרו</w:t>
      </w:r>
      <w:r>
        <w:rPr>
          <w:rFonts w:cs="David" w:ascii="David" w:hAnsi="David"/>
          <w:sz w:val="24"/>
          <w:szCs w:val="24"/>
          <w:rtl w:val="true"/>
        </w:rPr>
        <w:t>.</w:t>
      </w:r>
    </w:p>
    <w:p>
      <w:pPr>
        <w:pStyle w:val="ListParagraph"/>
        <w:numPr>
          <w:ilvl w:val="0"/>
          <w:numId w:val="2"/>
        </w:numPr>
        <w:spacing w:lineRule="auto" w:line="360"/>
        <w:ind w:hanging="360" w:start="720" w:end="0"/>
        <w:jc w:val="both"/>
        <w:rPr>
          <w:rFonts w:ascii="David" w:hAnsi="David" w:cs="David"/>
          <w:sz w:val="24"/>
          <w:szCs w:val="24"/>
        </w:rPr>
      </w:pP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חודשי מע</w:t>
      </w:r>
      <w:r>
        <w:rPr>
          <w:rFonts w:cs="David" w:ascii="David" w:hAnsi="David"/>
          <w:sz w:val="24"/>
          <w:szCs w:val="24"/>
          <w:rtl w:val="true"/>
        </w:rPr>
        <w:t>"</w:t>
      </w:r>
      <w:r>
        <w:rPr>
          <w:rFonts w:ascii="David" w:hAnsi="David" w:cs="David"/>
          <w:sz w:val="24"/>
          <w:sz w:val="24"/>
          <w:szCs w:val="24"/>
          <w:rtl w:val="true"/>
        </w:rPr>
        <w:t>ת</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והתנאי הוא שהנאשם לא יעבור במשך שלוש שנים מיום שחרורו מהכלא על העבירה בה הורשע</w:t>
      </w:r>
      <w:r>
        <w:rPr>
          <w:rFonts w:cs="David" w:ascii="David" w:hAnsi="David"/>
          <w:sz w:val="24"/>
          <w:szCs w:val="24"/>
          <w:rtl w:val="true"/>
        </w:rPr>
        <w:t xml:space="preserve">, </w:t>
      </w:r>
      <w:r>
        <w:rPr>
          <w:rFonts w:ascii="David" w:hAnsi="David" w:cs="David"/>
          <w:sz w:val="24"/>
          <w:sz w:val="24"/>
          <w:szCs w:val="24"/>
          <w:rtl w:val="true"/>
        </w:rPr>
        <w:t xml:space="preserve">או על עבירות לפי סעיף </w:t>
      </w:r>
      <w:hyperlink r:id="rId21">
        <w:r>
          <w:rPr>
            <w:rStyle w:val="Hyperlink"/>
            <w:rFonts w:cs="David" w:ascii="David" w:hAnsi="David"/>
            <w:color w:val="0000FF"/>
            <w:sz w:val="24"/>
            <w:szCs w:val="24"/>
            <w:u w:val="single"/>
          </w:rPr>
          <w:t>144</w:t>
        </w:r>
        <w:r>
          <w:rPr>
            <w:rStyle w:val="Hyperlink"/>
            <w:rFonts w:cs="David" w:ascii="David" w:hAnsi="David"/>
            <w:color w:val="0000FF"/>
            <w:sz w:val="24"/>
            <w:szCs w:val="24"/>
            <w:u w:val="single"/>
            <w:rtl w:val="true"/>
          </w:rPr>
          <w:t xml:space="preserve"> (</w:t>
        </w:r>
        <w:r>
          <w:rPr>
            <w:rStyle w:val="Hyperlink"/>
            <w:rFonts w:ascii="David" w:hAnsi="David" w:cs="David"/>
            <w:color w:val="0000FF"/>
            <w:sz w:val="24"/>
            <w:sz w:val="24"/>
            <w:szCs w:val="24"/>
            <w:u w:val="single"/>
            <w:rtl w:val="true"/>
          </w:rPr>
          <w:t>ב</w:t>
        </w:r>
        <w:r>
          <w:rPr>
            <w:rStyle w:val="Hyperlink"/>
            <w:rFonts w:cs="David" w:ascii="David" w:hAnsi="David"/>
            <w:color w:val="0000FF"/>
            <w:sz w:val="24"/>
            <w:szCs w:val="24"/>
            <w:u w:val="single"/>
            <w:rtl w:val="true"/>
          </w:rPr>
          <w:t>) (</w:t>
        </w:r>
        <w:r>
          <w:rPr>
            <w:rStyle w:val="Hyperlink"/>
            <w:rFonts w:ascii="David" w:hAnsi="David" w:cs="David"/>
            <w:color w:val="0000FF"/>
            <w:sz w:val="24"/>
            <w:sz w:val="24"/>
            <w:szCs w:val="24"/>
            <w:u w:val="single"/>
            <w:rtl w:val="true"/>
          </w:rPr>
          <w:t>ב</w:t>
        </w:r>
        <w:r>
          <w:rPr>
            <w:rStyle w:val="Hyperlink"/>
            <w:rFonts w:cs="David" w:ascii="David" w:hAnsi="David"/>
            <w:color w:val="0000FF"/>
            <w:sz w:val="24"/>
            <w:szCs w:val="24"/>
            <w:u w:val="single"/>
          </w:rPr>
          <w:t>1</w:t>
        </w:r>
        <w:r>
          <w:rPr>
            <w:rStyle w:val="Hyperlink"/>
            <w:rFonts w:cs="David" w:ascii="David" w:hAnsi="David"/>
            <w:color w:val="0000FF"/>
            <w:sz w:val="24"/>
            <w:szCs w:val="24"/>
            <w:u w:val="single"/>
            <w:rtl w:val="true"/>
          </w:rPr>
          <w:t>)</w:t>
        </w:r>
      </w:hyperlink>
      <w:r>
        <w:rPr>
          <w:rFonts w:ascii="David" w:hAnsi="David" w:cs="David"/>
          <w:sz w:val="24"/>
          <w:sz w:val="24"/>
          <w:szCs w:val="24"/>
          <w:rtl w:val="true"/>
        </w:rPr>
        <w:t>לחוק</w:t>
      </w:r>
      <w:r>
        <w:rPr>
          <w:rFonts w:cs="David" w:ascii="David" w:hAnsi="David"/>
          <w:sz w:val="24"/>
          <w:szCs w:val="24"/>
          <w:rtl w:val="true"/>
        </w:rPr>
        <w:t>.</w:t>
      </w:r>
    </w:p>
    <w:p>
      <w:pPr>
        <w:pStyle w:val="Normal"/>
        <w:ind w:end="0"/>
        <w:jc w:val="start"/>
        <w:rPr>
          <w:rFonts w:ascii="David" w:hAnsi="David" w:cs="David"/>
          <w:sz w:val="24"/>
          <w:szCs w:val="24"/>
        </w:rPr>
      </w:pPr>
      <w:r>
        <w:rPr>
          <w:rFonts w:cs="David" w:ascii="David" w:hAnsi="David"/>
          <w:sz w:val="24"/>
          <w:szCs w:val="24"/>
          <w:rtl w:val="true"/>
        </w:rPr>
      </w:r>
    </w:p>
    <w:p>
      <w:pPr>
        <w:pStyle w:val="Normal"/>
        <w:ind w:end="0"/>
        <w:jc w:val="start"/>
        <w:rPr/>
      </w:pPr>
      <w:r>
        <w:rPr>
          <w:rtl w:val="true"/>
        </w:rPr>
      </w:r>
    </w:p>
    <w:p>
      <w:pPr>
        <w:pStyle w:val="Normal"/>
        <w:ind w:end="0"/>
        <w:jc w:val="start"/>
        <w:rPr/>
      </w:pPr>
      <w:bookmarkStart w:id="11" w:name="Nitan"/>
      <w:r>
        <w:rPr>
          <w:rFonts w:ascii="Arial" w:hAnsi="Arial" w:cs="Arial"/>
          <w:b/>
          <w:b/>
          <w:bCs/>
          <w:rtl w:val="true"/>
        </w:rPr>
        <w:t>ניתן היום</w:t>
      </w:r>
      <w:r>
        <w:rPr>
          <w:rFonts w:cs="Arial" w:ascii="Arial" w:hAnsi="Arial"/>
          <w:b/>
          <w:bCs/>
          <w:rtl w:val="true"/>
        </w:rPr>
        <w:t xml:space="preserve">,  </w:t>
      </w:r>
      <w:r>
        <w:rPr>
          <w:rFonts w:ascii="Arial" w:hAnsi="Arial" w:cs="Arial"/>
          <w:b/>
          <w:b/>
          <w:bCs/>
          <w:rtl w:val="true"/>
        </w:rPr>
        <w:t>כ</w:t>
      </w:r>
      <w:r>
        <w:rPr>
          <w:rFonts w:cs="Arial" w:ascii="Arial" w:hAnsi="Arial"/>
          <w:b/>
          <w:bCs/>
          <w:rtl w:val="true"/>
        </w:rPr>
        <w:t>"</w:t>
      </w:r>
      <w:r>
        <w:rPr>
          <w:rFonts w:ascii="Arial" w:hAnsi="Arial" w:cs="Arial"/>
          <w:b/>
          <w:b/>
          <w:bCs/>
          <w:rtl w:val="true"/>
        </w:rPr>
        <w:t>ז טבת תשפ</w:t>
      </w:r>
      <w:r>
        <w:rPr>
          <w:rFonts w:cs="Arial" w:ascii="Arial" w:hAnsi="Arial"/>
          <w:b/>
          <w:bCs/>
          <w:rtl w:val="true"/>
        </w:rPr>
        <w:t>"</w:t>
      </w:r>
      <w:r>
        <w:rPr>
          <w:rFonts w:ascii="Arial" w:hAnsi="Arial" w:cs="Arial"/>
          <w:b/>
          <w:b/>
          <w:bCs/>
          <w:rtl w:val="true"/>
        </w:rPr>
        <w:t>א</w:t>
      </w:r>
      <w:r>
        <w:rPr>
          <w:rFonts w:cs="Arial" w:ascii="Arial" w:hAnsi="Arial"/>
          <w:b/>
          <w:bCs/>
          <w:rtl w:val="true"/>
        </w:rPr>
        <w:t xml:space="preserve">, </w:t>
      </w:r>
      <w:r>
        <w:rPr>
          <w:rFonts w:cs="Arial" w:ascii="Arial" w:hAnsi="Arial"/>
          <w:b/>
          <w:bCs/>
        </w:rPr>
        <w:t>11</w:t>
      </w:r>
      <w:r>
        <w:rPr>
          <w:rFonts w:cs="Arial" w:ascii="Arial" w:hAnsi="Arial"/>
          <w:b/>
          <w:bCs/>
          <w:rtl w:val="true"/>
        </w:rPr>
        <w:t xml:space="preserve"> </w:t>
      </w:r>
      <w:r>
        <w:rPr>
          <w:rFonts w:ascii="Arial" w:hAnsi="Arial" w:cs="Arial"/>
          <w:b/>
          <w:b/>
          <w:bCs/>
          <w:rtl w:val="true"/>
        </w:rPr>
        <w:t xml:space="preserve">ינואר </w:t>
      </w:r>
      <w:r>
        <w:rPr>
          <w:rFonts w:cs="Arial" w:ascii="Arial" w:hAnsi="Arial"/>
          <w:b/>
          <w:bCs/>
        </w:rPr>
        <w:t>2021</w:t>
      </w:r>
      <w:r>
        <w:rPr>
          <w:rFonts w:cs="Arial" w:ascii="Arial" w:hAnsi="Arial"/>
          <w:b/>
          <w:bCs/>
          <w:rtl w:val="true"/>
        </w:rPr>
        <w:t xml:space="preserve">, </w:t>
      </w:r>
      <w:r>
        <w:rPr>
          <w:rFonts w:ascii="Arial" w:hAnsi="Arial" w:cs="Arial"/>
          <w:b/>
          <w:b/>
          <w:bCs/>
          <w:rtl w:val="true"/>
        </w:rPr>
        <w:t>במעמד הצדדים</w:t>
      </w:r>
      <w:r>
        <w:rPr>
          <w:rFonts w:cs="Arial" w:ascii="Arial" w:hAnsi="Arial"/>
          <w:b/>
          <w:bCs/>
          <w:rtl w:val="true"/>
        </w:rPr>
        <w:t xml:space="preserve">. </w:t>
      </w:r>
      <w:bookmarkEnd w:id="11"/>
      <w:r>
        <w:rPr>
          <w:rtl w:val="true"/>
        </w:rPr>
        <w:t xml:space="preserve"> </w:t>
      </w:r>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Arial"/>
          <w:color w:val="FFFFFF"/>
          <w:sz w:val="2"/>
          <w:szCs w:val="2"/>
        </w:rPr>
      </w:pPr>
      <w:r>
        <w:rPr>
          <w:rFonts w:cs="Arial" w:ascii="Arial" w:hAnsi="Arial"/>
          <w:color w:val="FFFFFF"/>
          <w:sz w:val="2"/>
          <w:szCs w:val="2"/>
        </w:rPr>
        <w:t>5129371</w:t>
      </w:r>
    </w:p>
    <w:p>
      <w:pPr>
        <w:pStyle w:val="Normal"/>
        <w:ind w:end="0"/>
        <w:jc w:val="start"/>
        <w:rPr>
          <w:color w:val="FFFFFF"/>
          <w:sz w:val="2"/>
          <w:szCs w:val="2"/>
        </w:rPr>
      </w:pPr>
      <w:r>
        <w:rPr>
          <w:color w:val="FFFFFF"/>
          <w:sz w:val="2"/>
          <w:szCs w:val="2"/>
        </w:rPr>
        <w:t>54678313</w:t>
      </w:r>
    </w:p>
    <w:p>
      <w:pPr>
        <w:pStyle w:val="Header"/>
        <w:ind w:end="0"/>
        <w:jc w:val="center"/>
        <w:rPr/>
      </w:pPr>
      <w:r>
        <w:rPr>
          <w:rtl w:val="true"/>
        </w:rPr>
        <w:tab/>
        <w:tab/>
      </w:r>
      <w:r>
        <w:rPr>
          <w:rtl w:val="true"/>
        </w:rPr>
        <w:t xml:space="preserve">   </w:t>
      </w:r>
      <w:r>
        <w:rPr>
          <w:rtl w:val="true"/>
        </w:rPr>
        <w:tab/>
      </w:r>
      <w:r>
        <w:rPr>
          <w:rtl w:val="true"/>
        </w:rPr>
        <w:t xml:space="preserve">   __________________</w:t>
      </w:r>
    </w:p>
    <w:p>
      <w:pPr>
        <w:pStyle w:val="Header"/>
        <w:ind w:end="0"/>
        <w:jc w:val="start"/>
        <w:rPr>
          <w:b/>
          <w:bCs/>
        </w:rPr>
      </w:pPr>
      <w:r>
        <w:rPr>
          <w:rFonts w:cs="Times New Roman"/>
          <w:b/>
          <w:bCs/>
          <w:rtl w:val="true"/>
        </w:rPr>
        <w:t xml:space="preserve">                                                                                         </w:t>
      </w:r>
      <w:r>
        <w:rPr>
          <w:b/>
          <w:b/>
          <w:bCs/>
          <w:rtl w:val="true"/>
        </w:rPr>
        <w:t>מרים</w:t>
      </w:r>
      <w:r>
        <w:rPr>
          <w:rFonts w:cs="Times New Roman"/>
          <w:b/>
          <w:b/>
          <w:bCs/>
          <w:rtl w:val="true"/>
        </w:rPr>
        <w:t xml:space="preserve"> </w:t>
      </w:r>
      <w:r>
        <w:rPr>
          <w:b/>
          <w:b/>
          <w:bCs/>
          <w:rtl w:val="true"/>
        </w:rPr>
        <w:t>דיסקין</w:t>
      </w:r>
      <w:r>
        <w:rPr>
          <w:b/>
          <w:bCs/>
          <w:rtl w:val="true"/>
        </w:rPr>
        <w:t xml:space="preserve">, </w:t>
      </w:r>
      <w:r>
        <w:rPr>
          <w:b/>
          <w:b/>
          <w:bCs/>
          <w:rtl w:val="true"/>
        </w:rPr>
        <w:t>שופטת</w:t>
      </w:r>
      <w:r>
        <w:rPr>
          <w:rFonts w:cs="Times New Roman"/>
          <w:b/>
          <w:b/>
          <w:bCs/>
          <w:rtl w:val="true"/>
        </w:rPr>
        <w:t xml:space="preserve"> </w:t>
      </w:r>
      <w:r>
        <w:rPr>
          <w:b/>
          <w:b/>
          <w:bCs/>
          <w:rtl w:val="true"/>
        </w:rPr>
        <w:t>עמיתה</w:t>
      </w:r>
    </w:p>
    <w:p>
      <w:pPr>
        <w:pStyle w:val="Normal"/>
        <w:ind w:end="0"/>
        <w:jc w:val="start"/>
        <w:rPr>
          <w:b/>
          <w:bCs/>
        </w:rPr>
      </w:pPr>
      <w:r>
        <w:rPr>
          <w:b/>
          <w:bCs/>
          <w:rtl w:val="true"/>
        </w:rPr>
      </w:r>
    </w:p>
    <w:p>
      <w:pPr>
        <w:pStyle w:val="Normal"/>
        <w:ind w:end="0"/>
        <w:jc w:val="center"/>
        <w:rPr>
          <w:color w:val="0000FF"/>
          <w:u w:val="single"/>
        </w:rPr>
      </w:pPr>
      <w:hyperlink r:id="rId22">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מרים דיסקין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23"/>
      <w:footerReference w:type="default" r:id="rId24"/>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ת</w:t>
    </w:r>
    <w:r>
      <w:rPr>
        <w:rFonts w:cs="David" w:ascii="David" w:hAnsi="David"/>
        <w:color w:val="000000"/>
        <w:sz w:val="22"/>
        <w:szCs w:val="22"/>
        <w:rtl w:val="true"/>
      </w:rPr>
      <w:t>"</w:t>
    </w:r>
    <w:r>
      <w:rPr>
        <w:rFonts w:ascii="David" w:hAnsi="David"/>
        <w:color w:val="000000"/>
        <w:sz w:val="22"/>
        <w:sz w:val="22"/>
        <w:szCs w:val="22"/>
        <w:rtl w:val="true"/>
      </w:rPr>
      <w:t>א</w:t>
    </w:r>
    <w:r>
      <w:rPr>
        <w:rFonts w:cs="David" w:ascii="David" w:hAnsi="David"/>
        <w:color w:val="000000"/>
        <w:sz w:val="22"/>
        <w:szCs w:val="22"/>
        <w:rtl w:val="true"/>
      </w:rPr>
      <w:t xml:space="preserve">) </w:t>
    </w:r>
    <w:r>
      <w:rPr>
        <w:rFonts w:cs="David" w:ascii="David" w:hAnsi="David"/>
        <w:color w:val="000000"/>
        <w:sz w:val="22"/>
        <w:szCs w:val="22"/>
      </w:rPr>
      <w:t>69643-05-18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מוסלח תורכ</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lvl>
  </w:abstractNum>
  <w:abstractNum w:abstractNumId="2">
    <w:lvl w:ilvl="0">
      <w:start w:val="1"/>
      <w:numFmt w:val="decimal"/>
      <w:lvlText w:val="%1."/>
      <w:lvlJc w:val="end"/>
      <w:pPr>
        <w:tabs>
          <w:tab w:val="num" w:pos="0"/>
        </w:tabs>
        <w:ind w:start="72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4" w:before="0" w:after="160"/>
      <w:ind w:hanging="0" w:start="720" w:end="0"/>
      <w:contextualSpacing/>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b" TargetMode="External"/><Relationship Id="rId4" Type="http://schemas.openxmlformats.org/officeDocument/2006/relationships/hyperlink" Target="http://www.nevo.co.il/law/70301/40i"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144.b.b1" TargetMode="External"/><Relationship Id="rId7" Type="http://schemas.openxmlformats.org/officeDocument/2006/relationships/hyperlink" Target="http://www.nevo.co.il/law/70301/192" TargetMode="External"/><Relationship Id="rId8" Type="http://schemas.openxmlformats.org/officeDocument/2006/relationships/hyperlink" Target="http://www.nevo.co.il/law/70301/500.7" TargetMode="External"/><Relationship Id="rId9" Type="http://schemas.openxmlformats.org/officeDocument/2006/relationships/hyperlink" Target="http://www.nevo.co.il/law/70301/192"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500.7" TargetMode="External"/><Relationship Id="rId12" Type="http://schemas.openxmlformats.org/officeDocument/2006/relationships/hyperlink" Target="http://www.nevo.co.il/law/70301/144.a" TargetMode="External"/><Relationship Id="rId13" Type="http://schemas.openxmlformats.org/officeDocument/2006/relationships/hyperlink" Target="http://www.nevo.co.il/case/161892" TargetMode="External"/><Relationship Id="rId14" Type="http://schemas.openxmlformats.org/officeDocument/2006/relationships/hyperlink" Target="http://www.nevo.co.il/case/18753213" TargetMode="External"/><Relationship Id="rId15" Type="http://schemas.openxmlformats.org/officeDocument/2006/relationships/hyperlink" Target="http://www.nevo.co.il/law/70301/40b" TargetMode="External"/><Relationship Id="rId16" Type="http://schemas.openxmlformats.org/officeDocument/2006/relationships/hyperlink" Target="http://www.nevo.co.il/law/70301/40i" TargetMode="External"/><Relationship Id="rId17" Type="http://schemas.openxmlformats.org/officeDocument/2006/relationships/hyperlink" Target="http://www.nevo.co.il/case/16921248" TargetMode="External"/><Relationship Id="rId18" Type="http://schemas.openxmlformats.org/officeDocument/2006/relationships/hyperlink" Target="http://www.nevo.co.il/law/70301/192" TargetMode="External"/><Relationship Id="rId19" Type="http://schemas.openxmlformats.org/officeDocument/2006/relationships/hyperlink" Target="http://www.nevo.co.il/case/26484690" TargetMode="External"/><Relationship Id="rId20" Type="http://schemas.openxmlformats.org/officeDocument/2006/relationships/hyperlink" Target="http://www.nevo.co.il/law/70301/144.a" TargetMode="External"/><Relationship Id="rId21" Type="http://schemas.openxmlformats.org/officeDocument/2006/relationships/hyperlink" Target="http://www.nevo.co.il/law/70301/144.b.b1" TargetMode="External"/><Relationship Id="rId22" Type="http://schemas.openxmlformats.org/officeDocument/2006/relationships/hyperlink" Target="http://www.nevo.co.il/advertisements/nevo-100.doc"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2021-10-03T12:08:00Z</dcterms:created>
  <dc:creator> </dc:creator>
  <dc:description/>
  <cp:keywords/>
  <dc:language>en-IL</dc:language>
  <cp:lastModifiedBy>h1</cp:lastModifiedBy>
  <dcterms:modified xsi:type="dcterms:W3CDTF">2021-10-03T12:08:00Z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מוסלח תורכ;נאדר תורכ</vt:lpwstr>
  </property>
  <property fmtid="{D5CDD505-2E9C-101B-9397-08002B2CF9AE}" pid="6" name="APPELLEE1">
    <vt:lpwstr/>
  </property>
  <property fmtid="{D5CDD505-2E9C-101B-9397-08002B2CF9AE}" pid="7" name="APPELLEE2">
    <vt:lpwstr/>
  </property>
  <property fmtid="{D5CDD505-2E9C-101B-9397-08002B2CF9AE}" pid="8" name="CASESLISTTMP1">
    <vt:lpwstr>161892;18753213;16921248;26484690</vt:lpwstr>
  </property>
  <property fmtid="{D5CDD505-2E9C-101B-9397-08002B2CF9AE}" pid="9" name="CITY">
    <vt:lpwstr>ת"א</vt:lpwstr>
  </property>
  <property fmtid="{D5CDD505-2E9C-101B-9397-08002B2CF9AE}" pid="10" name="DATE">
    <vt:lpwstr>20210111</vt:lpwstr>
  </property>
  <property fmtid="{D5CDD505-2E9C-101B-9397-08002B2CF9AE}" pid="11" name="DELEMATA">
    <vt:lpwstr/>
  </property>
  <property fmtid="{D5CDD505-2E9C-101B-9397-08002B2CF9AE}" pid="12" name="ISABSTRACT">
    <vt:lpwstr>Y</vt:lpwstr>
  </property>
  <property fmtid="{D5CDD505-2E9C-101B-9397-08002B2CF9AE}" pid="13" name="JUDGE">
    <vt:lpwstr>מרים דיסקין</vt:lpwstr>
  </property>
  <property fmtid="{D5CDD505-2E9C-101B-9397-08002B2CF9AE}" pid="14" name="LAWLISTTMP1">
    <vt:lpwstr>70301/192:2;500.7;144.a:2;040b;040i;144.b.b1</vt:lpwstr>
  </property>
  <property fmtid="{D5CDD505-2E9C-101B-9397-08002B2CF9AE}" pid="15" name="LAWYER">
    <vt:lpwstr>ראזי מחמיד;איתן און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69643</vt:lpwstr>
  </property>
  <property fmtid="{D5CDD505-2E9C-101B-9397-08002B2CF9AE}" pid="22" name="NEWPARTB">
    <vt:lpwstr>05</vt:lpwstr>
  </property>
  <property fmtid="{D5CDD505-2E9C-101B-9397-08002B2CF9AE}" pid="23" name="NEWPARTC">
    <vt:lpwstr>18</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390020210111</vt:lpwstr>
  </property>
  <property fmtid="{D5CDD505-2E9C-101B-9397-08002B2CF9AE}" pid="34" name="TYPE_N_DATE">
    <vt:lpwstr>39020210111</vt:lpwstr>
  </property>
  <property fmtid="{D5CDD505-2E9C-101B-9397-08002B2CF9AE}" pid="35" name="VOLUME">
    <vt:lpwstr/>
  </property>
  <property fmtid="{D5CDD505-2E9C-101B-9397-08002B2CF9AE}" pid="36" name="WORDNUMPAGES">
    <vt:lpwstr>6</vt:lpwstr>
  </property>
</Properties>
</file>