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6968-01-24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עיאש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נתנאל בנישו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פרקליטות מחוז חיפה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אבו עיאש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בדר אלדין אגבאריה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u w:val="none"/>
          </w:rPr>
          <w:t>43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ההרשעה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7" w:name="ABSTRACT_START"/>
      <w:bookmarkEnd w:id="7"/>
      <w:r>
        <w:rPr>
          <w:rFonts w:ascii="Arial" w:hAnsi="Arial" w:cs="Arial"/>
          <w:sz w:val="26"/>
          <w:sz w:val="26"/>
          <w:szCs w:val="26"/>
          <w:rtl w:val="true"/>
        </w:rPr>
        <w:t>הנאשם הורשע על פי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הסדר 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בכתב אישום מתוקן המייחס לו עבירה של 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ל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המתואר בכתב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19.12.23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באום אל פחם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נהג הנאשם ברכב הנמצא ברשותו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הוא נושא על גופו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בלא רשות על פי 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אקדח חצי אוטומטי מסוג גלוק ובתוכו מחסנית ריקה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בכתב האישום צוין כי האקדח שייך לאחר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נתיב נסיעתו של הנאשם נחסם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כוח משטרתי והשוטרים שהיו במקום הורו לו לעצור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בחיפוש שנערך על הנאשם נתפסו האקדח והמחסנית הריקה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בטיעוניו לעונש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עומד על הערכים המוגנים בעבירה של נשיאת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הוא מדגיש את העובדה כי עסקינן במעשה מתוכנן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פוטנציאל נזק חמור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מאחר שנשיאת הנשק נפסקה עקב היתקלות הנאשם עם השוטרים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מקום לטענה המבקשת לזקוף לזכותו כי ההחזקה הייתה קצרה וחד פעמית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יתרה מזו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טוען התובע כי איננו יודעים מי מסר את הנשק לנאשם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נסיבה העומדת לחובתו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למתחם הענישה ההולם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מפנה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 נקבע מתחם הנע בין </w:t>
      </w:r>
      <w:r>
        <w:rPr>
          <w:rFonts w:cs="Arial" w:ascii="Arial" w:hAnsi="Arial"/>
          <w:sz w:val="26"/>
          <w:szCs w:val="26"/>
        </w:rPr>
        <w:t>30-42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בגין עבירה יחידה של נשיאת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מציין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את קביעתו של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לפיה עונש של שלוש שנות מאסר הוא עונש סביר בגין עבירה 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מדגיש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את הנחייתו החוזרת והנשנית של בית המשפט להחמרה עונשית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תפוצתם הנרחבת והפגיעה הקשה במרחב הציבורי בעקבותיהם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לאור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סבור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כי בעבירות האמורות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שיקולי ההרתעה גוברים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במקרים של עבריינים צעירים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עבר פלילי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מפנה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להנחיית פרקליט המדינה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המייצגת את האינטרס הציבורי בהחמרה בעבירת נשיאת נשק וכן לתיקון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הקובע עונש מאסר מזערי של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בהתאם לכלל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סבור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כי בענייננו יש לקבוע מתחם עונשי בן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בתוך המתחם הוא מבקש להתחשב בהודאת הנאשם ובהעדר עבר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ומאידך גיסא בשיקולי הרתעת היחיד והרבים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מעבר לעונש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עותר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למאסר מותנה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לקנס ולפסילת רישיון נהיגה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עונש אחרון זה מתחייב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מאחר שהנאשם הסתייע ברכב לצורך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מפנה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</w:t>
      </w:r>
      <w:hyperlink r:id="rId1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לסעיף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התעבורה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1961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סבור כי עתירת המאשימה מתעלמת לחלוטין מהנסיבות הקונקרטיות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תיקון 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שכלל מחיקת עבירה של החזקה והובלה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תיקון העובדות  המגבשות את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במסגרתו צוין כי הנשק שייך לאחר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מצדיקים הקלה בעונש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</w:rPr>
        <w:t>לאור מאחר שלשיטתו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קיים הבדל מהותי בין נשיאת אקדח השייך לנאשם לבין נשיאת אקדח השייך לאחר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באופן 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מדגיש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את העובדה כי המחסנית הייתה ריקה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במצב דברים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היה ניתן לעשות שימוש מידי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דבר המהווה נסיבה מהותית להקלה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מציין הסנגור כי האקדח נתפס ולא נעשה בו שום 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עובדות המבססות העדר נזק בעבר ובעתיד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במישור האישי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מדגיש הסנגור כי הנאשם יליד </w:t>
      </w:r>
      <w:r>
        <w:rPr>
          <w:rFonts w:cs="Arial" w:ascii="Arial" w:hAnsi="Arial"/>
          <w:sz w:val="26"/>
          <w:szCs w:val="26"/>
        </w:rPr>
        <w:t>2002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כך שבזמן ביצוע העבירה היה כבן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וימים ספורים הבדילו בינו לבין נאשם לגביו קיימת חובת תסקיר עקב גיל צעיר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 מבקש לזקוף לזכות הנאשם אף את עברו הנקי ואת הודאתו באשמה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הכוללת חרטה כנה ואמיתית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 מוסיף ומציין כי טרם מעצרו עבד הנאשם לפרנסתו ועזר לפרנסת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בהמשך 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סוקר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שורה ארוכה של פסקי 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מהם עולה רמת ענישה נמוכה הרבה יותר מזו אליה כיוון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יצוין כי התרתי לסנגור להגיש פסיקה נוספת לאחר שמיעת הטיעונים לעונש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הופניתי לשלושה פסקי דין נוספים בהם מצה הסנגור תמיכה בגישתו העונשית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רקע כל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סבור הסנגור כי יש לקבוע מתחם עונש הולם הנע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לאור נסיבותיו של הנאשם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מבקש הסנגור להעמיד את העונש ברף התחתון של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זאת תוך קביעת מאסר מותנה שיהווה חרב מעל ראשו וירתיע אותו מלבצע עבירות נוספות</w:t>
      </w:r>
      <w:r>
        <w:rPr>
          <w:rFonts w:cs="Arial" w:ascii="Arial" w:hAnsi="Arial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לבקשה לפסול את רישיונו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סבור הסנגור כי זו מיותרת ונעדרת תשתית ראויה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מאחר שלא צוין בכתב האישום כי הנאשם הסתייע ברכב לביצוע העבירה ואף לא הוזכרה הוראת החוק הרלוונטית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סיכומם של דברים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מבקש שלא להכביד עמו בשל מעידתו החד פעמית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ולתת לו הזדמנות לחזור למוטב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לשקם את חייו ולסייע בפרנסת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בדברו האחרון מסר כי הוא מצטער ולא יחזור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הערכים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החברתיים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המוגנים</w:t>
      </w:r>
    </w:p>
    <w:p>
      <w:pPr>
        <w:pStyle w:val="Normal"/>
        <w:spacing w:lineRule="auto" w:line="360"/>
        <w:ind w:end="0"/>
        <w:jc w:val="both"/>
        <w:rPr/>
      </w:pPr>
      <w:hyperlink r:id="rId1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מגלם בחובו תכליות של הגנה על חיי האדם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שלום הציבור וביטחונו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מיני רבים 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7971/23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26.5.24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הסיכון הכרוך ב</w:t>
      </w:r>
      <w:r>
        <w:rPr>
          <w:rFonts w:ascii="Arial" w:hAnsi="Arial" w:cs="Arial"/>
          <w:sz w:val="26"/>
          <w:sz w:val="26"/>
          <w:szCs w:val="26"/>
          <w:rtl w:val="true"/>
        </w:rPr>
        <w:t>נשיאת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נשק שלא כדין מתבטא בחשש שה</w:t>
      </w:r>
      <w:r>
        <w:rPr>
          <w:rFonts w:ascii="Arial" w:hAnsi="Arial" w:cs="Arial"/>
          <w:sz w:val="26"/>
          <w:sz w:val="26"/>
          <w:szCs w:val="26"/>
          <w:rtl w:val="true"/>
        </w:rPr>
        <w:t>נושא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נשק יעשה בו שימוש וכן באפשרות כי נשק זה יגיע לידיים אחרות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4945/14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הוא משליך על הביטחון במרחב הציבורי והפרטי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תחושת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פחות מכך על שלטון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הכרסום המתמיד בייחוד הפעלת הכוח על ידי מי שהוסמך לכך על פי 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נסיבות ביצוע העבירה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במקרה דנן הנאשם נשא אקדח תקני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כלי נשק אשר בכוחו להמית 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ומכאן מסוכנות וחומרת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האקדח והמחסנית הריקה הוחזקו על גופו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מעשה המחייב תכנון כלשהו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העובדה כי הנשק נישא במרחב הציבורי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בעת שהנאשם נוסע ברכב ברחבי עיר מיושבת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ממחיש היטב את הסיכון הכרוך בנשיאת נשק 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מאידך גיסא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לזכור כי לא התקיים סיכון מיידי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המחסנית שהייתה בתוך האקדח הייתה ריקה מתחמושת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יש להתחשב בעובדה כי הנשק שייך לאחר ולא לנאשם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בעובדה זו לשלול את פוטנציאל הנזק הטמון בנשיאת הנשק על ידי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בהעדר ראיות באשר למשך הזמן בו נישא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להניח לחובת הנאשם כי הוא נשא והחזיק באקדח לפרק זמן ממושך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די בהחזקה רגעית על מנת ליצור פוטנציאל נזק משמעותי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פוטנציאל זה נגדע עקב התערבות חיצונית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במקרה זה החיפוש נערך על ידי שוטרים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ביוזמת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לבסוף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להביא בחשבון כי הנשק נתפס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נסיבה אשר גם לה משמעות בהיבט צמצום הנזק העתידי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מדיניות הענישה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רקע פגיעתן הקשה של עבירות הנשק בערכים מרכזיים כהגנה על חי האדם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הסדר הציבורי והמשילות השלטונית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ולאור נפוצות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הקשורות להחזקת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נשק שלא כדין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ונשיאתו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שהוגדרה 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מכת מדינה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2482/22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קדורה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14.4.22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מצב חירום לאומי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ניכרת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החמרה בענישה והודגש הצורך בהטלת עונשי מאסר משמעותיים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כך נקבע לדוגמא 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ruller5"/>
        <w:bidi w:val="1"/>
        <w:spacing w:lineRule="auto" w:line="360" w:before="0" w:after="0"/>
        <w:ind w:start="1642" w:end="1282"/>
        <w:jc w:val="both"/>
        <w:rPr/>
      </w:pP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התופעה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כדין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ידי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אזרחים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מהווה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איום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שלום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הציבור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הסדר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הציבורי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היא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התשתית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הגורם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בלעדיו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(</w:t>
      </w:r>
      <w:r>
        <w:rPr>
          <w:rFonts w:cs="David" w:ascii="Arial" w:hAnsi="Arial"/>
          <w:b/>
          <w:bCs/>
          <w:i/>
          <w:iCs/>
          <w:sz w:val="26"/>
          <w:szCs w:val="26"/>
        </w:rPr>
        <w:t>causa sine qua non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)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למגוון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רחב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עבירות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איומים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ושוד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מזוין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המשך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גרימת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חבלה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חמורה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וכלה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המתה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לעתים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קרובות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נרכש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מלכתחילה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למטרות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ואף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נרכש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למטרות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הגנה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עצמית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',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הזמינות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מעודדת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השימוש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בו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לביצוע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שונות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ולהחרפת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תוצאותיהן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.</w:t>
      </w:r>
    </w:p>
    <w:p>
      <w:pPr>
        <w:pStyle w:val="ruller5"/>
        <w:bidi w:val="1"/>
        <w:spacing w:lineRule="auto" w:line="360" w:before="0" w:after="0"/>
        <w:ind w:start="1642" w:end="1282"/>
        <w:jc w:val="both"/>
        <w:rPr>
          <w:rFonts w:ascii="Arial" w:hAnsi="Arial" w:cs="David"/>
          <w:b/>
          <w:bCs/>
          <w:i/>
          <w:i/>
          <w:iCs/>
          <w:sz w:val="26"/>
          <w:szCs w:val="26"/>
        </w:rPr>
      </w:pP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</w:r>
    </w:p>
    <w:p>
      <w:pPr>
        <w:pStyle w:val="ruller5"/>
        <w:bidi w:val="1"/>
        <w:spacing w:lineRule="auto" w:line="360" w:before="0" w:after="0"/>
        <w:ind w:start="1642" w:end="1282"/>
        <w:jc w:val="both"/>
        <w:rPr>
          <w:rFonts w:ascii="Arial" w:hAnsi="Arial" w:cs="David"/>
          <w:sz w:val="26"/>
          <w:szCs w:val="26"/>
        </w:rPr>
      </w:pP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המאבק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בתופעות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האלימות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החמורות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בחברה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הישראלית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בהן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נעשה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שימוש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מחייב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מעבר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למאמץ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לשים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יד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כלי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הרבים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שבידי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הציבור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ענישה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מחמירה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ומרתיעה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לרבות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עצם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החזקה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או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רכישה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כדין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[...]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ביעור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תופעת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כלי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חוקיים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הוא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אפוא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אינטרס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ציבורי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מהמעלה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הראשונה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ותנאי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הכרחי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למאבק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בתופעות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הפשיעה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האלימה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לסוגיה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הרווחות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במקומותינו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בבחינת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ייבוש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הביצה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המשמשת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ערש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לגידולן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תופעות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אלה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מהלך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כזה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מחייב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הירתמות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המשפט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ידי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ענישה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מחמירה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ומרתיעה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חוקי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באשר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הן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וכל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שכן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מקום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שנעשה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כזה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שימוש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בביצוע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אלימות</w:t>
      </w:r>
      <w:r>
        <w:rPr>
          <w:rFonts w:ascii="Arial" w:hAnsi="Arial" w:eastAsia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sz w:val="26"/>
          <w:sz w:val="26"/>
          <w:szCs w:val="26"/>
          <w:rtl w:val="true"/>
        </w:rPr>
        <w:t>לסוגיהן</w:t>
      </w:r>
      <w:r>
        <w:rPr>
          <w:rFonts w:cs="David" w:ascii="Arial" w:hAnsi="Arial"/>
          <w:b/>
          <w:bCs/>
          <w:i/>
          <w:iCs/>
          <w:sz w:val="26"/>
          <w:szCs w:val="26"/>
          <w:rtl w:val="true"/>
        </w:rPr>
        <w:t>".</w:t>
      </w:r>
      <w:r>
        <w:rPr>
          <w:rFonts w:cs="David" w:ascii="Arial" w:hAnsi="Arial"/>
          <w:sz w:val="26"/>
          <w:szCs w:val="26"/>
          <w:rtl w:val="true"/>
        </w:rPr>
        <w:t xml:space="preserve"> (</w:t>
      </w:r>
      <w:hyperlink r:id="rId20">
        <w:r>
          <w:rPr>
            <w:rStyle w:val="Hyperlink"/>
            <w:rFonts w:ascii="Arial" w:hAnsi="Arial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</w:t>
      </w:r>
      <w:r>
        <w:rPr>
          <w:rFonts w:cs="David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>(</w:t>
      </w:r>
      <w:r>
        <w:rPr>
          <w:rFonts w:ascii="Arial" w:hAnsi="Arial" w:cs="David"/>
          <w:sz w:val="26"/>
          <w:sz w:val="26"/>
          <w:szCs w:val="26"/>
          <w:rtl w:val="true"/>
        </w:rPr>
        <w:t>פורסם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בנבו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cs="David" w:ascii="Arial" w:hAnsi="Arial"/>
          <w:sz w:val="26"/>
          <w:szCs w:val="26"/>
        </w:rPr>
        <w:t>5.11.19</w:t>
      </w:r>
      <w:r>
        <w:rPr>
          <w:rFonts w:cs="David" w:ascii="Arial" w:hAnsi="Arial"/>
          <w:sz w:val="26"/>
          <w:szCs w:val="26"/>
          <w:rtl w:val="true"/>
        </w:rPr>
        <w:t>)</w:t>
      </w:r>
      <w:r>
        <w:rPr>
          <w:rFonts w:cs="David" w:ascii="Arial" w:hAnsi="Arial"/>
          <w:sz w:val="26"/>
          <w:szCs w:val="26"/>
          <w:rtl w:val="true"/>
        </w:rPr>
        <w:t>)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  <w:sz w:val="26"/>
          <w:szCs w:val="26"/>
        </w:rPr>
      </w:pPr>
      <w:r>
        <w:rPr>
          <w:rFonts w:cs="David" w:ascii="Arial" w:hAnsi="Arial"/>
          <w:sz w:val="26"/>
          <w:szCs w:val="26"/>
          <w:rtl w:val="true"/>
        </w:rPr>
      </w:r>
    </w:p>
    <w:p>
      <w:pPr>
        <w:pStyle w:val="ruller5"/>
        <w:bidi w:val="1"/>
        <w:spacing w:lineRule="auto" w:line="360" w:before="0" w:after="0"/>
        <w:ind w:end="0"/>
        <w:jc w:val="both"/>
        <w:rPr/>
      </w:pPr>
      <w:r>
        <w:rPr>
          <w:rFonts w:ascii="Arial" w:hAnsi="Arial" w:cs="David"/>
          <w:sz w:val="26"/>
          <w:sz w:val="26"/>
          <w:szCs w:val="26"/>
          <w:rtl w:val="true"/>
        </w:rPr>
        <w:t>יתרה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מזו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מעבר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לפוטנציאל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הנזק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הישיר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הטמון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</w:t>
      </w:r>
      <w:r>
        <w:rPr>
          <w:rFonts w:ascii="Arial" w:hAnsi="Arial" w:cs="David"/>
          <w:sz w:val="26"/>
          <w:sz w:val="26"/>
          <w:szCs w:val="26"/>
          <w:rtl w:val="true"/>
        </w:rPr>
        <w:t>נשיאת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חוקית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ובשימוש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נדרש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לתת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</w:t>
      </w:r>
      <w:r>
        <w:rPr>
          <w:rFonts w:ascii="Arial" w:hAnsi="Arial" w:cs="David"/>
          <w:sz w:val="26"/>
          <w:sz w:val="26"/>
          <w:szCs w:val="26"/>
          <w:rtl w:val="true"/>
        </w:rPr>
        <w:t>דעת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להשפעות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החברתיות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הרוחביות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וההרסניות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הנגרמות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</w:t>
      </w:r>
      <w:r>
        <w:rPr>
          <w:rFonts w:ascii="Arial" w:hAnsi="Arial" w:cs="David"/>
          <w:sz w:val="26"/>
          <w:sz w:val="26"/>
          <w:szCs w:val="26"/>
          <w:rtl w:val="true"/>
        </w:rPr>
        <w:t>התפשטות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תופעת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נשיאת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חוקי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וההחזקה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בו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זו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מייצרת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אווירה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ציבורית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כל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דאלים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גבר</w:t>
      </w:r>
      <w:r>
        <w:rPr>
          <w:rFonts w:cs="David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David"/>
          <w:sz w:val="26"/>
          <w:sz w:val="26"/>
          <w:szCs w:val="26"/>
          <w:rtl w:val="true"/>
        </w:rPr>
        <w:t>בעקבותיה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נדחק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מקומם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גורמי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האכיפה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והביטחון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ונוצרת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תרבות</w:t>
      </w:r>
      <w:r>
        <w:rPr>
          <w:rFonts w:cs="David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David"/>
          <w:sz w:val="26"/>
          <w:sz w:val="26"/>
          <w:szCs w:val="26"/>
          <w:rtl w:val="true"/>
        </w:rPr>
        <w:t>כללית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אלימה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ועבריינית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הרואה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בחיוב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נשק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נשיאתו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</w:t>
      </w:r>
      <w:r>
        <w:rPr>
          <w:rFonts w:ascii="Arial" w:hAnsi="Arial" w:cs="David"/>
          <w:sz w:val="26"/>
          <w:sz w:val="26"/>
          <w:szCs w:val="26"/>
          <w:rtl w:val="true"/>
        </w:rPr>
        <w:t>ה</w:t>
      </w:r>
      <w:r>
        <w:rPr>
          <w:rFonts w:ascii="Arial" w:hAnsi="Arial" w:cs="David"/>
          <w:sz w:val="26"/>
          <w:sz w:val="26"/>
          <w:szCs w:val="26"/>
          <w:rtl w:val="true"/>
        </w:rPr>
        <w:t>שימוש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בו</w:t>
      </w:r>
      <w:r>
        <w:rPr>
          <w:rFonts w:cs="David" w:ascii="Arial" w:hAnsi="Arial"/>
          <w:sz w:val="26"/>
          <w:szCs w:val="26"/>
          <w:rtl w:val="true"/>
        </w:rPr>
        <w:t xml:space="preserve">.  </w:t>
      </w:r>
    </w:p>
    <w:p>
      <w:pPr>
        <w:pStyle w:val="ruller4"/>
        <w:bidi w:val="1"/>
        <w:spacing w:lineRule="auto" w:line="36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אל מול הסיכון המוחשי לערכים חברתיים בסיסיים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הודגש משקלם המרכזי של שיקולי ההרתעה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הפרטית והכללית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והעדפתם על פני שיקולי ענישה אחרים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לדוגמה </w:t>
      </w: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309/22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ביאדסה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10.5.22</w:t>
      </w:r>
      <w:r>
        <w:rPr>
          <w:rFonts w:cs="Arial" w:ascii="Arial" w:hAnsi="Arial"/>
          <w:sz w:val="26"/>
          <w:szCs w:val="26"/>
          <w:rtl w:val="true"/>
        </w:rPr>
        <w:t>),</w:t>
      </w:r>
      <w:r>
        <w:rPr>
          <w:rFonts w:cs="Arial" w:ascii="Arial" w:hAnsi="Arial"/>
          <w:color w:val="FF0000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1695/22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גאנים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29.3.22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לנוכח כלל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קבע בית המשפט העליון מתחמי ענישה מפורשים בנוגע לעבירות דוגמת זו שבוצעה על ידי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כך נקבע לאחרונה 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אגבאריה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23" w:start="1440" w:end="1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"...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ככלל מתחם ענישה ראוי לנאשם בגיר בגין עבירה של נשיאת נשק חם במרחב הציבורי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נע בין </w:t>
      </w:r>
      <w:r>
        <w:rPr>
          <w:rFonts w:cs="Arial" w:ascii="Arial" w:hAnsi="Arial"/>
          <w:b/>
          <w:bCs/>
          <w:i/>
          <w:iCs/>
          <w:sz w:val="26"/>
          <w:szCs w:val="26"/>
        </w:rPr>
        <w:t>30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- </w:t>
      </w:r>
      <w:r>
        <w:rPr>
          <w:rFonts w:cs="Arial" w:ascii="Arial" w:hAnsi="Arial"/>
          <w:b/>
          <w:bCs/>
          <w:i/>
          <w:iCs/>
          <w:sz w:val="26"/>
          <w:szCs w:val="26"/>
        </w:rPr>
        <w:t>42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7971/21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אגבאריה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26.5.2024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באותו עניין הוטלו על אחד הנאשמים 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מבלי למצות את הדין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בגין נשיאת תת מקלע מאולתר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טעון במחסנית ובה עשרה כדורים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וכן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start="1417" w:end="1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באין נסיבות מיוחדות לחומרא או לקולא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יהא זה בהחלט סביר אם בית משפט יטיל על נאשם כאמור עונש של </w:t>
      </w:r>
      <w:r>
        <w:rPr>
          <w:rFonts w:cs="Arial" w:ascii="Arial" w:hAnsi="Arial"/>
          <w:b/>
          <w:bCs/>
          <w:i/>
          <w:iCs/>
          <w:sz w:val="26"/>
          <w:szCs w:val="26"/>
        </w:rPr>
        <w:t>36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5602/22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14.9.2022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באותו עניין הורשע הנאשם בנשיאת אקדח עת נסע ברכב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בהפרעה לשוטר ובכניסה ושהייה בישראל ללא היתר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באופן דומה נקבע גם ב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4077/22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28.7.2022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1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מדיניות ענישה עקבית זו נלמדת משורה ארוכה של פסקי דין שניתנו על ידי בית המשפט העליון בשנים האחרונות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</w:t>
      </w: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3877/16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אבלי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17.11.17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בו נדחה ערעור נאשם בנשיאת אקדח טעון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>;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2101/21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טוביה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29.7.21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בו נדחה ערעור על חומרת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שהוטלו על נאשם בנשיאת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מחסנית וכדורים</w:t>
      </w:r>
      <w:r>
        <w:rPr>
          <w:rFonts w:cs="Arial" w:ascii="Arial" w:hAnsi="Arial"/>
          <w:sz w:val="26"/>
          <w:szCs w:val="26"/>
          <w:rtl w:val="true"/>
        </w:rPr>
        <w:t>;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6021/21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עבוד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19.12.21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בו נדחה ערעור נאשם בעבירה של נשיאת והובלת רוס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 </w:t>
      </w:r>
      <w:r>
        <w:rPr>
          <w:rFonts w:cs="Arial" w:ascii="Arial" w:hAnsi="Arial"/>
          <w:sz w:val="26"/>
          <w:szCs w:val="26"/>
        </w:rPr>
        <w:t>M</w:t>
      </w:r>
      <w:r>
        <w:rPr>
          <w:rFonts w:cs="Arial" w:ascii="Arial" w:hAnsi="Arial"/>
          <w:sz w:val="26"/>
          <w:szCs w:val="26"/>
        </w:rPr>
        <w:t>-16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והפרעה לשוטר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עליו נגזרו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;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166/22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טאהא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1.6.22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 בגין החזקת נשק מאולתר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הנאשם הביע נכונות להשתלב בהליך טיפולי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רקע פסיקה עקבית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שומה עלינו לנהוג כמצוות בית המשפט העליון ב</w:t>
      </w:r>
      <w:hyperlink r:id="rId3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5602/22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end="1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start="850" w:end="1418"/>
        <w:jc w:val="both"/>
        <w:rPr>
          <w:rFonts w:ascii="Arial" w:hAnsi="Arial" w:cs="Arial"/>
          <w:b/>
          <w:bCs/>
          <w:i/>
          <w:i/>
          <w:iCs/>
          <w:sz w:val="26"/>
          <w:szCs w:val="26"/>
        </w:rPr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תקוותי היא כי אמות מידה אלה תנחנה את הערכאות הדיוניות באופן שיטתי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end="1418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מגמת ההחמרה האמורה אינה נחלתו הבלעדית של 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היא אף מצאה ביטוי בתיקון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קבע עונש מזערי בעבירה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ממנו מוסמך לחרוג בית המשפט אך בהתקיים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טעמים מיוחדים שיירשמו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סעיף </w:t>
      </w:r>
      <w:hyperlink r:id="rId32"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ז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בהתאם לתיקון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בענייננו העונש המזערי לעבירה עומד על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אם הצדק עם הסנגור כי חלק מעונש זה ניתן לקבוע כי יהא עונש מותנה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בשים לב לכלל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הערכים המוגנים עליהם עמדנו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חומרת העבירה ונסיבותיה וכן לאור מדיניות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הגעתי למסקנה כי במקרה דנן יש לקבוע מתחם עונשי העומד על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-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נסיבות שאינן קשורות בעבירה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באשר לנסיבות שאינן קשורות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ספק כי יש להתחשב בגילו הצעיר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שמלאו לו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ימים ספורים לפני ביצוע העבירה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כן יש להתחשב </w:t>
      </w:r>
      <w:r>
        <w:rPr>
          <w:rFonts w:ascii="Arial" w:hAnsi="Arial" w:cs="Arial"/>
          <w:sz w:val="26"/>
          <w:sz w:val="26"/>
          <w:szCs w:val="26"/>
          <w:rtl w:val="true"/>
        </w:rPr>
        <w:t>בעובדה כי זו מעידתו הראשונה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יחד 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נקבע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 פעם כי בשים לב לשיקולי ההרתעה הגוברים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יינתן משקל מוגבל לגיל צעיר ולעבר נקי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כך נקבע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start="992" w:end="851"/>
        <w:jc w:val="both"/>
        <w:rPr/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"...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הענישה המחמירה והבלתי מתפשרת כאמור צריכה לחול ללא סייגים על כל נאשם בגיר באשר הוא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שכן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בטיפולנו בעבירות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[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]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מסוג זה ובמבצעיהן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",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ועל כן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ככלל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יעדים עונשיים אלו מוחקים מניה וביה את בקשת העבריין לשיקום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 xml:space="preserve">[...] 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i/>
          <w:iCs/>
          <w:rtl w:val="true"/>
        </w:rPr>
        <w:t>""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)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color w:val="000000"/>
          <w:sz w:val="26"/>
          <w:szCs w:val="26"/>
          <w:rtl w:val="true"/>
        </w:rPr>
        <w:t>"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color w:val="000000"/>
          <w:sz w:val="26"/>
          <w:szCs w:val="26"/>
        </w:rPr>
        <w:t>5602/22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14.9.22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וראו גם </w:t>
      </w:r>
      <w:hyperlink r:id="rId3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8846/15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דראז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13.6.16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3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5330/20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ענבתאוי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פורסם בנבו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22.11.20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וכן 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אגבראיה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))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לצד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הודה בעבירה ובכך קיבל עליה אחריות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יש לציין כי הודאה זו באה מבלי שנשמעו עדים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דבר אשר חסך זמן שיפוטי יקר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לבסוף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מקום להתחשב ב</w:t>
      </w:r>
      <w:r>
        <w:rPr>
          <w:rFonts w:ascii="Arial" w:hAnsi="Arial" w:cs="Arial"/>
          <w:sz w:val="26"/>
          <w:sz w:val="26"/>
          <w:szCs w:val="26"/>
          <w:rtl w:val="true"/>
        </w:rPr>
        <w:t>דברי החרטה אותם הביע הנאשם בפניי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ההלכות עליהן עמדנו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בהתחשב בנסיבות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מנוס מהטלת עונש מאסר משמעותי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יבטא באופן הולם את צורכי ההרתעה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להם נתן בית המשפט העליון את הבכורה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פסילת רישיון נהיגה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hyperlink r:id="rId3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[</w:t>
      </w:r>
      <w:r>
        <w:rPr>
          <w:rFonts w:ascii="Arial" w:hAnsi="Arial" w:cs="Arial"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], </w:t>
      </w:r>
      <w:r>
        <w:rPr>
          <w:rFonts w:ascii="Arial" w:hAnsi="Arial" w:cs="Arial"/>
          <w:sz w:val="26"/>
          <w:sz w:val="26"/>
          <w:szCs w:val="26"/>
          <w:rtl w:val="true"/>
        </w:rPr>
        <w:t>תשכ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1961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מסמיך את בית המשפט להטיל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לצד עונשים 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עונש של פסילת רישיון נהיגה מקום בו נאשם  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6"/>
          <w:sz w:val="26"/>
          <w:szCs w:val="26"/>
          <w:rtl w:val="true"/>
        </w:rPr>
        <w:t>הורשע על עוון או על פשע שביצועם נתאפשר או הוקל עקב נהיגתו ברכב או עקב השימוש ברכב</w:t>
      </w: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  <w:t>..."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לאור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בדין עתרה המאשימה להטלת עונש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מאחר שעסקינן בסעיף עונשי במהותו ובהעדר הוראה מפורשת לכלול כוונה לעתור לפיו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הייתה חובה על המאשימה לציין את כוונתה בכתב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ויש לדחות את טענת הסנגור בעניין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יחד 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שקילת הדברים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שוכנעתי כי מקרה דנן מצדיק הטלת עונש נוסף 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העבירה בה הורשע הנאשם בוצעה אמנם תוך כדי נסיעה ברכב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לא התרשמתי כי מדובר בנסיבה מהותית 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אם ביצוע העבירה התאפשר עקב נסיעת הנאשם ברכב במישור העובדתי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טכני ועל כן קמה סמכות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בהסתייעות אינצידנטלית בלבד ולא בכזו אשר תרמה תרומה מהותית להתרחשות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ולאור תקופת המאסר בפועל המשמעותית אותה יהיה על הנאשם לרצות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החלטתי להימנע מהטלת עונש 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סוף דבר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העולה מדברנו עד 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עירב עצמו בביצוע עבירה חמורה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</w:t>
      </w:r>
      <w:r>
        <w:rPr>
          <w:rFonts w:ascii="Arial" w:hAnsi="Arial" w:cs="Arial"/>
          <w:sz w:val="26"/>
          <w:sz w:val="26"/>
          <w:szCs w:val="26"/>
          <w:rtl w:val="true"/>
        </w:rPr>
        <w:t>נשא על גופו אקדח ובו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מחסנית ריקה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במרחב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עבירה זו פוגעת בערכים חברתיים ראשונים במעלה ולה פוטנציאל נזק משמעותי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אי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בהתאם למדיניות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נדרש להטיל על עליו עונש מאסר משמעותי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יהלום את מהות מעשיו ויבטא כראוי את שיקולי הענישה השונים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לצד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עומדות לזכותו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נסיבות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>אישיות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</w:t>
      </w:r>
      <w:r>
        <w:rPr>
          <w:rFonts w:ascii="Arial" w:hAnsi="Arial" w:cs="Arial"/>
          <w:sz w:val="26"/>
          <w:sz w:val="26"/>
          <w:szCs w:val="26"/>
          <w:rtl w:val="true"/>
        </w:rPr>
        <w:t>מקלות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עליהן עמדנו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הודאתו באשמה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על רקע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סבור שיש לגזור על הנאשם עונש מאסר בפועל קרוב לרף התחתון של מתחם העונש ההולם שנקבע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אם לא ברף התחתון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אדגיש כי לולא עמדו לנאשם נסיבות הקולא עליהן עמד</w:t>
      </w:r>
      <w:r>
        <w:rPr>
          <w:rFonts w:ascii="Arial" w:hAnsi="Arial" w:cs="Arial"/>
          <w:sz w:val="26"/>
          <w:sz w:val="26"/>
          <w:szCs w:val="26"/>
          <w:rtl w:val="true"/>
        </w:rPr>
        <w:t>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לשיטתי היה מקום להטיל עונש חמור יותר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בהתאם לאמור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הנני גוזר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33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לריצוי בפועל מיום מעצרו בתיק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חודשי מאסר מותנים והתנאי הוא כי במשך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שנים מיום שחרורו ממאסר לא יעבור הנאשם עבירה בה הורשע או עבירה לפי סעיפים </w:t>
      </w:r>
      <w:hyperlink r:id="rId37">
        <w:r>
          <w:rPr>
            <w:rStyle w:val="Hyperlink"/>
            <w:rFonts w:cs="Arial" w:ascii="Arial" w:hAnsi="Arial"/>
            <w:b/>
            <w:bCs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 </w:t>
      </w:r>
      <w:hyperlink r:id="rId38"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hyperlink r:id="rId39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1977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b/>
          <w:bCs/>
          <w:sz w:val="26"/>
          <w:szCs w:val="26"/>
        </w:rPr>
        <w:t>7,500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שישולם עד ליום </w:t>
      </w:r>
      <w:r>
        <w:rPr>
          <w:rFonts w:cs="Arial" w:ascii="Arial" w:hAnsi="Arial"/>
          <w:b/>
          <w:bCs/>
          <w:sz w:val="26"/>
          <w:szCs w:val="26"/>
        </w:rPr>
        <w:t>11.7.2025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לא ישלם הנאשם קנס זה יאסר לתקופה נוספת של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 w:before="0" w:after="160"/>
        <w:ind w:start="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תשומת לב הנאשם שיש לשלם את הקנס לחשבון המרכז לגביית קנסות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אגרות והוצאות ברשות האכיפה והגבייה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החל מחלוף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 מיום מתן גזר הדין וזאת באחת מהדרכים הבאות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בכרטיס אשראי – באתר המקוון של רשות האכיפה והגבייה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40">
        <w:r>
          <w:rPr>
            <w:rStyle w:val="Hyperlink"/>
            <w:rFonts w:cs="Arial" w:ascii="Arial" w:hAnsi="Arial"/>
            <w:sz w:val="26"/>
            <w:szCs w:val="26"/>
          </w:rPr>
          <w:t>www.eca.gov.il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חפש בגוגל 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תשלום גביית קנסות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מוקד שירות טלפוני בשרות עצמי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מרכז גבייה</w:t>
      </w:r>
      <w:r>
        <w:rPr>
          <w:rFonts w:cs="Arial" w:ascii="Arial" w:hAnsi="Arial"/>
          <w:sz w:val="26"/>
          <w:szCs w:val="26"/>
          <w:rtl w:val="true"/>
        </w:rPr>
        <w:t xml:space="preserve">) 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בטלפון </w:t>
      </w:r>
      <w:r>
        <w:rPr>
          <w:rFonts w:cs="Arial" w:ascii="Arial" w:hAnsi="Arial"/>
          <w:sz w:val="26"/>
          <w:szCs w:val="26"/>
        </w:rPr>
        <w:t>35592</w:t>
      </w:r>
      <w:r>
        <w:rPr>
          <w:rFonts w:cs="Arial" w:ascii="Arial" w:hAnsi="Arial"/>
          <w:sz w:val="26"/>
          <w:szCs w:val="26"/>
          <w:rtl w:val="true"/>
        </w:rPr>
        <w:t xml:space="preserve">*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בטלפון </w:t>
      </w:r>
      <w:r>
        <w:rPr>
          <w:rFonts w:cs="Arial" w:ascii="Arial" w:hAnsi="Arial"/>
          <w:sz w:val="26"/>
          <w:szCs w:val="26"/>
        </w:rPr>
        <w:t>073-2055000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ניתן לפנות לנציגים לקבלת מידע במספרים הללו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במזומן בכל סניף של בנק הדואר – בהצגת תעודת זהות בלבד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אין צורך בשוברי תשלום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אני מורה על חילוט האקדח והמחסנית שנתפסו בתיק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לטובת משטרת ישראל או להשמדה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נתנאל בנישו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7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6968-01-24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עיאש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5227/43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30168342" TargetMode="External"/><Relationship Id="rId18" Type="http://schemas.openxmlformats.org/officeDocument/2006/relationships/hyperlink" Target="http://www.nevo.co.il/case/17065136" TargetMode="External"/><Relationship Id="rId19" Type="http://schemas.openxmlformats.org/officeDocument/2006/relationships/hyperlink" Target="http://www.nevo.co.il/case/28513828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8243273" TargetMode="External"/><Relationship Id="rId22" Type="http://schemas.openxmlformats.org/officeDocument/2006/relationships/hyperlink" Target="http://www.nevo.co.il/case/28384637" TargetMode="External"/><Relationship Id="rId23" Type="http://schemas.openxmlformats.org/officeDocument/2006/relationships/hyperlink" Target="http://www.nevo.co.il/case/28113030" TargetMode="External"/><Relationship Id="rId24" Type="http://schemas.openxmlformats.org/officeDocument/2006/relationships/hyperlink" Target="http://www.nevo.co.il/case/28883087" TargetMode="External"/><Relationship Id="rId25" Type="http://schemas.openxmlformats.org/officeDocument/2006/relationships/hyperlink" Target="http://www.nevo.co.il/case/28697227" TargetMode="External"/><Relationship Id="rId26" Type="http://schemas.openxmlformats.org/officeDocument/2006/relationships/hyperlink" Target="http://www.nevo.co.il/case/21474168" TargetMode="External"/><Relationship Id="rId27" Type="http://schemas.openxmlformats.org/officeDocument/2006/relationships/hyperlink" Target="http://www.nevo.co.il/case/27499246" TargetMode="External"/><Relationship Id="rId28" Type="http://schemas.openxmlformats.org/officeDocument/2006/relationships/hyperlink" Target="http://www.nevo.co.il/case/27911655" TargetMode="External"/><Relationship Id="rId29" Type="http://schemas.openxmlformats.org/officeDocument/2006/relationships/hyperlink" Target="http://www.nevo.co.il/case/28229995" TargetMode="External"/><Relationship Id="rId30" Type="http://schemas.openxmlformats.org/officeDocument/2006/relationships/hyperlink" Target="http://www.nevo.co.il/case/28883087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g" TargetMode="External"/><Relationship Id="rId33" Type="http://schemas.openxmlformats.org/officeDocument/2006/relationships/hyperlink" Target="http://www.nevo.co.il/case/20817891" TargetMode="External"/><Relationship Id="rId34" Type="http://schemas.openxmlformats.org/officeDocument/2006/relationships/hyperlink" Target="http://www.nevo.co.il/case/26888657" TargetMode="External"/><Relationship Id="rId35" Type="http://schemas.openxmlformats.org/officeDocument/2006/relationships/hyperlink" Target="http://www.nevo.co.il/law/5227/43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eca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2024-07-14T12:52:00Z</dcterms:created>
  <dc:creator> </dc:creator>
  <dc:description/>
  <cp:keywords/>
  <dc:language>en-IL</dc:language>
  <cp:lastModifiedBy>h1</cp:lastModifiedBy>
  <dcterms:modified xsi:type="dcterms:W3CDTF">2024-07-14T12:52:00Z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אבו עיאש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ProcID=235&amp;PartA=30&amp;PartC=42</vt:lpwstr>
  </property>
  <property fmtid="{D5CDD505-2E9C-101B-9397-08002B2CF9AE}" pid="9" name="CASESLISTTMP1">
    <vt:lpwstr>30168342;17065136;28513828;25824863;28243273;28384637;28113030;28883087:2;28697227;21474168;27499246;27911655;28229995;20817891;26888657</vt:lpwstr>
  </property>
  <property fmtid="{D5CDD505-2E9C-101B-9397-08002B2CF9AE}" pid="10" name="CITY">
    <vt:lpwstr>חי'</vt:lpwstr>
  </property>
  <property fmtid="{D5CDD505-2E9C-101B-9397-08002B2CF9AE}" pid="11" name="DATE">
    <vt:lpwstr>20240711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נתנאל בנישו</vt:lpwstr>
  </property>
  <property fmtid="{D5CDD505-2E9C-101B-9397-08002B2CF9AE}" pid="15" name="LAWLISTTMP1">
    <vt:lpwstr>70301/144.b;144;144.g;144.a;144.b2</vt:lpwstr>
  </property>
  <property fmtid="{D5CDD505-2E9C-101B-9397-08002B2CF9AE}" pid="16" name="LAWLISTTMP2">
    <vt:lpwstr>5227/043:2</vt:lpwstr>
  </property>
  <property fmtid="{D5CDD505-2E9C-101B-9397-08002B2CF9AE}" pid="17" name="LAWYER">
    <vt:lpwstr>בדר אלדין אגבאריה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6968</vt:lpwstr>
  </property>
  <property fmtid="{D5CDD505-2E9C-101B-9397-08002B2CF9AE}" pid="24" name="NEWPARTB">
    <vt:lpwstr>01</vt:lpwstr>
  </property>
  <property fmtid="{D5CDD505-2E9C-101B-9397-08002B2CF9AE}" pid="25" name="NEWPARTC">
    <vt:lpwstr>24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390020240711</vt:lpwstr>
  </property>
  <property fmtid="{D5CDD505-2E9C-101B-9397-08002B2CF9AE}" pid="36" name="TYPE_N_DATE">
    <vt:lpwstr>39020240711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