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6968-02-22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חמזה גאבר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>הנאשם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במסגרת הסדר 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בעובדות כתב אישום מתוקן בעבירת </w:t>
      </w:r>
      <w:r>
        <w:rPr>
          <w:rFonts w:ascii="David" w:hAnsi="David" w:eastAsia="David"/>
          <w:b/>
          <w:b/>
          <w:bCs/>
          <w:rtl w:val="true"/>
        </w:rPr>
        <w:t>החזקת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אביזר נשק ותחמושת שלא כדין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לפי </w:t>
      </w:r>
      <w:hyperlink r:id="rId5">
        <w:r>
          <w:rPr>
            <w:rStyle w:val="Hyperlink"/>
            <w:rFonts w:ascii="David" w:hAnsi="David" w:eastAsia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b/>
            <w:bCs/>
          </w:rPr>
          <w:t>144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David"/>
            <w:b/>
            <w:b/>
            <w:bCs/>
            <w:rtl w:val="true"/>
          </w:rPr>
          <w:t>א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)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רישא וסיפא ל</w:t>
      </w:r>
      <w:hyperlink r:id="rId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תשל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ז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1977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:"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 xml:space="preserve">"). </w:t>
      </w:r>
      <w:r>
        <w:rPr>
          <w:rFonts w:ascii="David" w:hAnsi="David" w:eastAsia="David"/>
          <w:rtl w:val="true"/>
        </w:rPr>
        <w:t>כמפורט בעובדות 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החזיק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עובר ליום </w:t>
      </w:r>
      <w:r>
        <w:rPr>
          <w:rFonts w:eastAsia="David" w:cs="David" w:ascii="David" w:hAnsi="David"/>
        </w:rPr>
        <w:t>23.1.22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במחסן סמוך לביתו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רובה צייד מאולתר ותחמושת תואמת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8" w:name="ABSTRACT_END"/>
      <w:bookmarkEnd w:id="8"/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29.6.22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הציגו הצדדים הסדר 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לפיו הנאשם יודה ויורשע בעובדות כתב אישום 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יופנה לתסקיר והצדדים יטענו באופן חופשי לעונש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תסקיר שירות המבחן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הנאשם בן </w:t>
      </w:r>
      <w:r>
        <w:rPr>
          <w:rFonts w:eastAsia="David" w:cs="David" w:ascii="David" w:hAnsi="David"/>
          <w:sz w:val="24"/>
          <w:szCs w:val="24"/>
        </w:rPr>
        <w:t>37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נשוי ואב לשלושה ילדים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סיים </w:t>
      </w:r>
      <w:r>
        <w:rPr>
          <w:rFonts w:eastAsia="David" w:cs="David" w:ascii="David" w:hAnsi="David"/>
          <w:sz w:val="24"/>
          <w:szCs w:val="24"/>
        </w:rPr>
        <w:t>7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שנות לימוד והחל לעבוד עם אביו בעבודות בניין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טרם מעצרו עבד במסגריה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אינו בקשר עם אביו בשל התנגדות האב לתהליך חזרה בתשובה שעבר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מאותו סיבה נותק הקשר עם אמו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עוד תאר את אביו כאיש נוקשה שנהג כלפיו באלימות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בעברו רקע התמכרותי לאלכוהול ושימוש החומרים ממכרים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לנאשם שלוש הרשעות קודמות בעבירות סמים ורכוש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דיווח שכיום מחזיק באישור רפואי לקנאביס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נטל אחריות מלאה על מעשיו והסביר כי החזיק בנשק כדי להגן על בעלי חיים בבעלותו מפני חזירי בר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שירות המבחן התרשם מאדם שגדל בנסיבות משפחתיות מורכבות ונעדר גורמי תמיכה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הביע רצון לשילוב בהליכי שיקום אך להערכתם מביע מוטיבציה חיצונית בלבד מתוך חשש מתוצאות ההליך המשפטי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עוד לא נשלל סיכון למעורבות חוזרת בפלילים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נוכח התרשמותם לא באו בהמלצה טיפולית והמליצו לשלבו בהליכי טיפול במסגרת שב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עוד הוגשה ע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י ההגנה חוות דעת פרטית שנערכה ע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י מר אילן מרגלית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 בהכשרתו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שפגש בנאשם ובהוריו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חוות הדעת סוקרת בהרחבה את נסיבות חייו ואת תהליכי הדרדרותו מגיל צעיר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מאשים את אביו בהתדרדרותו ורואה בו אחראי למצבו הנפשי והפיזי הירוד באותה תקופה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מר מרגלית התרשם מאדם שסובל  מגיל צעיר מבעיות תפקודיות ומתקשה לתפקד לאורך זמן באופן אחראי ושקול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בצד זאת סבור שהמצב המשברי שבו נתון ורצונו להשתלב בהליך טיפולי מאפשרים לשלבו בתכנית טיפולית הכוללת הליכי טיפול וגמילה וליווי פסיכיאטרי ופסיכולוגי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תמצית הטיעונים 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כהן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קדוש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עמדה בטיעוניה על חומרת עבירות הנשק שהן בבחינת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", </w:t>
      </w:r>
      <w:r>
        <w:rPr>
          <w:rFonts w:ascii="David" w:hAnsi="David" w:eastAsia="David"/>
          <w:rtl w:val="true"/>
        </w:rPr>
        <w:t>הערכים המוגנים שנפגעו ופוטנציאל הנזק שעלול היה להיגרם מהחזקת נשק בלתי חוקי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הדגישה כי אין בסוג הנשק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>רובה ציד כדי להביא להקלה בעונש וכי הנשק נתפס כשלצדו תחמושת מתאימה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למדיניות הענישה הנוהגת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על מגמת ההחמרה בענישה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הוראת השעה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החלה בענייננו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 נקבעו עונשי מינימום לעבירות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כביטוי לרצון המחוקק להיאבק בתופעה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סבורה שהתסקיר אינו מגלה סיכויי שיקום והנאשם אינו מגלה מוטיבציה אמיתית לגמילה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בנסיבות אלו ובהנתן עברו הפלילי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ביקשה לגזור עליו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לצד ענישה נלווית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זילברמן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הפנה לתיקון כתב האישום לקולא וביקש להקל עימו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עמד על נסיבותיו ילדותו המורכבות כפי שעלו מחוות הדעת הפרטית שהוגשה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לא התעלם מחומרת מעשיו אך סבור שניתן לאבחנו מעברייני נשק אחרים וממדיניות הפסיקה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לדבריו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קנה את רובה הצייד לצורך הגנה מפני חזירי 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עשה בו שימוש והחזיק בו לשעת צורך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סבור שמדובר בנאשם חיובי הבשל המתאים לשיקום והטלת מאסר ממושך עלולה לשבור את רוחו ואת רצונו לערוך שינוי בחייו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שוהה במעצר לראשונה בחייו תקופה ממושכת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מבין את הטעות שעשה ומביע חרטה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כן ביקש להסתפק בתקופת מאסר החופפת את תקופת מעצרו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color w:val="000000"/>
          <w:spacing w:val="10"/>
          <w:rtl w:val="true"/>
        </w:rPr>
        <w:t>עבירות הנשק הפכו זה מכבר למכת מדינה</w:t>
      </w:r>
      <w:r>
        <w:rPr>
          <w:rFonts w:ascii="David" w:hAnsi="David" w:eastAsia="David"/>
          <w:rtl w:val="true"/>
        </w:rPr>
        <w:t xml:space="preserve"> ומגלמות סכנה ממשית לשלום הציבור ולביטחונו</w:t>
      </w:r>
      <w:r>
        <w:rPr>
          <w:rFonts w:eastAsia="David"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 w:eastAsia="David"/>
          <w:color w:val="000000"/>
          <w:spacing w:val="10"/>
          <w:rtl w:val="true"/>
        </w:rPr>
        <w:t>חומרתן היתרה של עבירות אלה</w:t>
      </w:r>
      <w:r>
        <w:rPr>
          <w:rFonts w:ascii="David" w:hAnsi="David" w:eastAsia="David"/>
          <w:rtl w:val="true"/>
        </w:rPr>
        <w:t xml:space="preserve"> אינה מתמצה אך בעבירות גופן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בפוטנציאל הנזק הנובע מהן</w:t>
      </w:r>
      <w:r>
        <w:rPr>
          <w:rFonts w:eastAsia="David"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 w:eastAsia="David"/>
          <w:color w:val="000000"/>
          <w:spacing w:val="10"/>
          <w:rtl w:val="true"/>
        </w:rPr>
        <w:t>פגיעתן הקשה והשפעתן על תחושת הביטחון של כלל אזרחי המדינה</w:t>
      </w:r>
      <w:r>
        <w:rPr>
          <w:rFonts w:eastAsia="David"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 w:eastAsia="David"/>
          <w:color w:val="000000"/>
          <w:spacing w:val="10"/>
          <w:rtl w:val="true"/>
        </w:rPr>
        <w:t>זכו להתייחסות נרחבת בפסקי דין רבים של בית משפט העליון</w:t>
      </w:r>
      <w:r>
        <w:rPr>
          <w:rFonts w:eastAsia="David"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 w:eastAsia="David"/>
          <w:rtl w:val="true"/>
        </w:rPr>
        <w:t>מגמת הפסיקה בשנים האחרונות מלמדת על החמרה בענישה לצורך מיגור 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מתן משקל לשיקולי הרתעה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מגמה זו אחידה ועיקבית ביחס לכלל עברייני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אף כשהם נעדרי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והאירוע הוא בגדר חריג בנוף חייהם הנורמטיבי </w:t>
      </w:r>
      <w:r>
        <w:rPr>
          <w:rFonts w:eastAsia="David" w:cs="David" w:ascii="David" w:hAnsi="David"/>
          <w:rtl w:val="true"/>
        </w:rPr>
        <w:t>(</w:t>
      </w:r>
      <w:hyperlink r:id="rId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מוחמד 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בארין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31.5.2022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להלן </w:t>
      </w:r>
      <w:r>
        <w:rPr>
          <w:rFonts w:eastAsia="David" w:cs="David" w:ascii="David" w:hAnsi="David"/>
          <w:rtl w:val="true"/>
        </w:rPr>
        <w:t>:"</w:t>
      </w:r>
      <w:r>
        <w:rPr>
          <w:rFonts w:ascii="David" w:hAnsi="David" w:eastAsia="David"/>
          <w:rtl w:val="true"/>
        </w:rPr>
        <w:t>ענין 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אברין</w:t>
      </w:r>
      <w:r>
        <w:rPr>
          <w:rFonts w:eastAsia="David" w:cs="David" w:ascii="David" w:hAnsi="David"/>
          <w:rtl w:val="true"/>
        </w:rPr>
        <w:t xml:space="preserve">"); </w:t>
      </w:r>
      <w:r>
        <w:rPr>
          <w:rFonts w:ascii="David" w:hAnsi="David" w:eastAsia="David"/>
          <w:rtl w:val="true"/>
        </w:rPr>
        <w:t>ב</w:t>
      </w:r>
      <w:hyperlink r:id="rId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6011/21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חאלד דסוקי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מדנית ישראל</w:t>
      </w:r>
      <w:r>
        <w:rPr>
          <w:rFonts w:ascii="David" w:hAnsi="David" w:eastAsia="David"/>
          <w:rtl w:val="true"/>
        </w:rPr>
        <w:t xml:space="preserve"> 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25.11.2021</w:t>
      </w:r>
      <w:r>
        <w:rPr>
          <w:rFonts w:eastAsia="David" w:cs="David" w:ascii="David" w:hAnsi="David"/>
          <w:rtl w:val="true"/>
        </w:rPr>
        <w:t xml:space="preserve">); </w:t>
      </w:r>
      <w:hyperlink r:id="rId9"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eastAsia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eastAsia="David" w:cs="David" w:ascii="David" w:hAnsi="David"/>
          <w:spacing w:val="10"/>
          <w:sz w:val="20"/>
          <w:shd w:fill="FFFFFF" w:val="clear"/>
        </w:rPr>
        <w:t>10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 w:val="20"/>
          <w:shd w:fill="FFFFFF" w:val="clear"/>
        </w:rPr>
        <w:t>28.12.2021</w:t>
      </w:r>
      <w:r>
        <w:rPr>
          <w:rFonts w:eastAsia="David"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; 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2283/22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אל נבארי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31.7.2022</w:t>
      </w:r>
      <w:r>
        <w:rPr>
          <w:rFonts w:eastAsia="David" w:cs="David" w:ascii="David" w:hAnsi="David"/>
          <w:rtl w:val="true"/>
        </w:rPr>
        <w:t xml:space="preserve">); 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78/21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26.7.2022</w:t>
      </w:r>
      <w:r>
        <w:rPr>
          <w:rFonts w:eastAsia="David" w:cs="David" w:ascii="David" w:hAnsi="David"/>
          <w:rtl w:val="true"/>
        </w:rPr>
        <w:t xml:space="preserve">); </w:t>
      </w:r>
      <w:hyperlink r:id="rId1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116/13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וקנין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31.7.2013</w:t>
      </w:r>
      <w:r>
        <w:rPr>
          <w:rFonts w:eastAsia="David"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color w:val="000000"/>
          <w:spacing w:val="10"/>
          <w:rtl w:val="true"/>
        </w:rPr>
        <w:t>זו קיבלה ביטוי גם בחקיקה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 xml:space="preserve">במסגרת תיקון </w:t>
      </w:r>
      <w:r>
        <w:rPr>
          <w:rFonts w:cs="David" w:ascii="David" w:hAnsi="David"/>
          <w:color w:val="000000"/>
          <w:spacing w:val="10"/>
        </w:rPr>
        <w:t>140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לחוק שחל בענייננו בו נקבעו עונשי מינימום לעבירות נשק באשר הן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באופן שככלל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העונש שיושת בגין עבירות אלו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 xml:space="preserve">לא יפחת מרבע העונש המרבי שנקבע לעבירה </w:t>
      </w:r>
      <w:r>
        <w:rPr>
          <w:rFonts w:cs="David" w:ascii="David" w:hAnsi="David"/>
          <w:spacing w:val="10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6496/21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ריאן נגד מדינת ישראל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20.12.2021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textAlignment w:val="baseline"/>
        <w:rPr/>
      </w:pPr>
      <w:r>
        <w:rPr>
          <w:rFonts w:ascii="David" w:hAnsi="David" w:eastAsia="David"/>
          <w:rtl w:val="true"/>
        </w:rPr>
        <w:t>בענייננו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החזיק ברובה ציד ובתחמושת תואמת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במחסן סמוך לביתו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ודוק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מקום להקל עימו הקלה ניכרת אך משום שמדובר ברובה ציד</w:t>
      </w:r>
      <w:r>
        <w:rPr>
          <w:rFonts w:eastAsia="David" w:cs="David" w:ascii="David" w:hAnsi="David"/>
          <w:rtl w:val="true"/>
        </w:rPr>
        <w:t>, "</w:t>
      </w:r>
      <w:r>
        <w:rPr>
          <w:rFonts w:ascii="David" w:hAnsi="David" w:eastAsia="David"/>
          <w:b/>
          <w:b/>
          <w:bCs/>
          <w:rtl w:val="true"/>
        </w:rPr>
        <w:t>נשק הוא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מדובר בכלי משחית המסוגל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להמית אדם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David"/>
          <w:b/>
          <w:b/>
          <w:bCs/>
          <w:rtl w:val="true"/>
        </w:rPr>
        <w:t xml:space="preserve">כלשון </w:t>
      </w:r>
      <w:hyperlink r:id="rId14">
        <w:r>
          <w:rPr>
            <w:rStyle w:val="Hyperlink"/>
            <w:rFonts w:ascii="David" w:hAnsi="David" w:eastAsia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b/>
            <w:bCs/>
          </w:rPr>
          <w:t>144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David"/>
            <w:b/>
            <w:b/>
            <w:bCs/>
            <w:rtl w:val="true"/>
          </w:rPr>
          <w:t>ג</w:t>
        </w:r>
        <w:r>
          <w:rPr>
            <w:rStyle w:val="Hyperlink"/>
            <w:rFonts w:eastAsia="David" w:cs="David" w:ascii="David" w:hAnsi="David"/>
            <w:b/>
            <w:bCs/>
            <w:rtl w:val="true"/>
          </w:rPr>
          <w:t>)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hyperlink r:id="rId1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לא בכדי המחוקק ביקש להכליל בגדר המונח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נשק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David"/>
          <w:b/>
          <w:b/>
          <w:bCs/>
          <w:rtl w:val="true"/>
        </w:rPr>
        <w:t>מנעד רחב של כלים ואביזרים המסוגלים לגרום למותו של אדם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והצורך לשרש חולה רעה זו באמצעות ענישה מחמירה ומרתיעה חל על כל סוגי כלי הנשק</w:t>
      </w:r>
      <w:r>
        <w:rPr>
          <w:rFonts w:eastAsia="David" w:cs="David" w:ascii="David" w:hAnsi="David"/>
          <w:rtl w:val="true"/>
        </w:rPr>
        <w:t>" (</w:t>
      </w:r>
      <w:r>
        <w:rPr>
          <w:rFonts w:ascii="David" w:hAnsi="David" w:eastAsia="David"/>
          <w:rtl w:val="true"/>
        </w:rPr>
        <w:t>עניין 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אברין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חרף האמור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יש מקום ליתן משקל מסוים לכלי הנשק שאינו נשק התקפי שמוחזק למטרות פליליות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בתסקירו נטען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 מטרת ההחזקת הנשק הייתה לצורך הגנה על בעלי חיים שבבעלותו מפני חזירי בר וכי לא עשה בו שימוש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הוצגה לפניי אינדקציה המראה אחרת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על דרך הכלל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דינם של מחזיקי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לרבות אלו שעברם נקי והתקבל בעניינם תסקיר חיובי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למאסר ממש שאינו קצר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המקרה שמזכיר במידת מה את המקרה שלפנינו ואליו הפנתה המאשימה הוא 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אברין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נדונו ערעורים שהגישו שני נאשמים שהורשעו בהחזקת רובה ציד טעון בשני כדורים ולצדו תחמושת תואמת ברכב שבו נסעו סמוך לגדר הבטחון בישוב אום אל פחם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גזר על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מאסרים בני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ערעורם נדחה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2482/22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קדורה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מיום </w:t>
      </w:r>
      <w:r>
        <w:rPr>
          <w:rFonts w:eastAsia="David" w:cs="David" w:ascii="David" w:hAnsi="David"/>
        </w:rPr>
        <w:t>14.4.2022</w:t>
      </w:r>
      <w:r>
        <w:rPr>
          <w:rFonts w:eastAsia="David" w:cs="David" w:ascii="David" w:hAnsi="David"/>
          <w:rtl w:val="true"/>
        </w:rPr>
        <w:t>) –</w:t>
      </w:r>
      <w:r>
        <w:rPr>
          <w:rFonts w:ascii="David" w:hAnsi="David" w:eastAsia="David"/>
          <w:rtl w:val="true"/>
        </w:rPr>
        <w:t>הנאשם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פי הודאתו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בעבירת החזקת נשק בצוותא עם אחר – אקדח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גלוק</w:t>
      </w:r>
      <w:r>
        <w:rPr>
          <w:rFonts w:eastAsia="David" w:cs="David" w:ascii="David" w:hAnsi="David"/>
          <w:rtl w:val="true"/>
        </w:rPr>
        <w:t xml:space="preserve">", </w:t>
      </w:r>
      <w:r>
        <w:rPr>
          <w:rFonts w:ascii="David" w:hAnsi="David" w:eastAsia="David"/>
          <w:rtl w:val="true"/>
        </w:rPr>
        <w:t>מחסנית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כדורים ורימון הלם אותם החזיק בביתו לתקופה קצרה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בית המשפט המחוזי קבע מתחם עונש הנע בין </w:t>
      </w:r>
      <w:r>
        <w:rPr>
          <w:rFonts w:eastAsia="David" w:cs="David" w:ascii="David" w:hAnsi="David"/>
        </w:rPr>
        <w:t>36-10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וגזר על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בן </w:t>
      </w:r>
      <w:r>
        <w:rPr>
          <w:rFonts w:eastAsia="David" w:cs="David" w:ascii="David" w:hAnsi="David"/>
        </w:rPr>
        <w:t>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וללא 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בית המשפט העליון קיבל את ערעור המדינה ו</w:t>
      </w:r>
      <w:r>
        <w:rPr>
          <w:rFonts w:ascii="David" w:hAnsi="David" w:eastAsia="David"/>
          <w:b/>
          <w:b/>
          <w:bCs/>
          <w:rtl w:val="true"/>
        </w:rPr>
        <w:t>החמיר עונשו 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18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פ </w:t>
      </w:r>
      <w:r>
        <w:rPr>
          <w:rFonts w:eastAsia="David" w:cs="David" w:ascii="David" w:hAnsi="David"/>
        </w:rPr>
        <w:t>166/22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)-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;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2015/21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אזברגה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9.12.2021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>נדחה ערעורו של נאשם בעל עבר שאינו מכביד שהורשע בהחזקת שני אקדחים ברכבו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המליץ להסתפק בעניינו בענישה שיקומית של עבודות שירות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נקבע בעניינו מתחם שנע בין </w:t>
      </w:r>
      <w:r>
        <w:rPr>
          <w:rFonts w:eastAsia="David" w:cs="David" w:ascii="David" w:hAnsi="David"/>
          <w:b/>
          <w:bCs/>
        </w:rPr>
        <w:t>12-36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ונגזרו עליו </w:t>
      </w: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25.11.2021</w:t>
      </w:r>
      <w:r>
        <w:rPr>
          <w:rtl w:val="true"/>
        </w:rPr>
        <w:t xml:space="preserve">)-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11.7.2019</w:t>
      </w:r>
      <w:r>
        <w:rPr>
          <w:rtl w:val="true"/>
        </w:rPr>
        <w:t xml:space="preserve">)-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25.8.2020</w:t>
      </w:r>
      <w:r>
        <w:rPr>
          <w:rtl w:val="true"/>
        </w:rPr>
        <w:t xml:space="preserve">)–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11-33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- </w:t>
      </w:r>
      <w:r>
        <w:rPr>
          <w:rtl w:val="true"/>
        </w:rPr>
        <w:t>נדחו</w:t>
      </w:r>
      <w:r>
        <w:rPr>
          <w:rtl w:val="true"/>
        </w:rPr>
        <w:t xml:space="preserve">;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התמונה העונשית המשתקפת בפסיקה ברורה וכוללת עונשי מאסר ממש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בבחינת 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אם מחזיקים</w:t>
      </w:r>
      <w:r>
        <w:rPr>
          <w:rFonts w:eastAsia="David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David"/>
          <w:b/>
          <w:b/>
          <w:bCs/>
          <w:rtl w:val="true"/>
        </w:rPr>
        <w:t>למאסר נשלחים</w:t>
      </w:r>
      <w:r>
        <w:rPr>
          <w:rFonts w:eastAsia="David" w:cs="David" w:ascii="David" w:hAnsi="David"/>
          <w:rtl w:val="true"/>
        </w:rPr>
        <w:t>" (</w:t>
      </w:r>
      <w:r>
        <w:rPr>
          <w:rFonts w:ascii="David" w:hAnsi="David" w:eastAsia="David"/>
          <w:rtl w:val="true"/>
        </w:rPr>
        <w:t>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השופט עמית</w:t>
      </w:r>
      <w:r>
        <w:rPr>
          <w:rFonts w:eastAsia="David"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2482/22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קדורה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rtl w:val="true"/>
        </w:rPr>
        <w:t>פ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מיום </w:t>
      </w:r>
      <w:r>
        <w:rPr>
          <w:rFonts w:eastAsia="David" w:cs="David" w:ascii="David" w:hAnsi="David"/>
        </w:rPr>
        <w:t>14.04.2022</w:t>
      </w:r>
      <w:r>
        <w:rPr>
          <w:rFonts w:eastAsia="David" w:cs="David" w:ascii="David" w:hAnsi="David"/>
          <w:rtl w:val="true"/>
        </w:rPr>
        <w:t xml:space="preserve">)).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לאחר שבחנתי את נסיבות ביצוע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מדיניות הענישה הנוהגת והוראת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קובעת מתחם ענישה שנע </w:t>
      </w:r>
      <w:r>
        <w:rPr>
          <w:rFonts w:ascii="David" w:hAnsi="David" w:eastAsia="David"/>
          <w:b/>
          <w:b/>
          <w:bCs/>
          <w:rtl w:val="true"/>
        </w:rPr>
        <w:t xml:space="preserve">בין </w:t>
      </w:r>
      <w:r>
        <w:rPr>
          <w:rFonts w:eastAsia="David" w:cs="David" w:ascii="David" w:hAnsi="David"/>
          <w:b/>
          <w:bCs/>
        </w:rPr>
        <w:t>14-30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rtl w:val="true"/>
        </w:rPr>
        <w:t>עתירת ההגנה להסתפק בתקופת מעצרו אינה מתיישבת עם מדיניות הפסיקה ומגמת ההחמרה בענישת עברייני 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גזירת העונש המתאים לנאשם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יליד </w:t>
      </w:r>
      <w:r>
        <w:rPr>
          <w:rFonts w:eastAsia="David" w:cs="David" w:ascii="David" w:hAnsi="David"/>
        </w:rPr>
        <w:t>1985</w:t>
      </w:r>
      <w:r>
        <w:rPr>
          <w:rFonts w:eastAsia="David" w:cs="David" w:ascii="David" w:hAnsi="David"/>
          <w:rtl w:val="true"/>
        </w:rPr>
        <w:t>,</w:t>
      </w:r>
      <w:r>
        <w:rPr>
          <w:rFonts w:ascii="David" w:hAnsi="David" w:eastAsia="David"/>
          <w:rtl w:val="true"/>
        </w:rPr>
        <w:t>בעברו שלוש הרשעות בעבירות רכוש וסמים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עצור בתיק זה עד תום ההליכים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מהתסקיר שהוגש כמו גם מחוות הדעת הפרטית וטיעוני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עולה תמונת חיים מורכבת של אדם שחווה ילדות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נעדר גורמי תמיכה אך הצליח בשנים האחרונות לעצור את ההליך ההדרדרות שבו היה נתון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אכן זקוק לשילוב בהליך טיפולי אך להתרשמות שירות המבחן אינו בשל לכך ומביע מוטיבציה וורבלית בלבד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אף מחוות הדעת הפרטית עולה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חרף התרשמות מנזקקות טיפולית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מדובר בנאשם בעלי דפוסי התנהגות שספק אם יתאימו להליך טיפול ארוך טווח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הודה ונטל אחריות מלאה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עצור לראשונה בחייו תקופה ארוכה וניכר שחווית המעצר והניתוק הממושך ממשפחתו נתנו בו אותותיו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בהנתן עברו הפלילי והעדר המלצה טיפולית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משמדובר בעבירה שיש ליתן בה משקל רב לשיקול הרתעת הרבים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היה ראוי למקם את עונשו של הנאשם במרכז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מצאתי להתחשב בנסיבותיו מתוך תקווה שלמד את לקחו ויימנע מביצוע עבירות דומות בעתיד ולמקמו בחלק התחתון של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בענייננו חלה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הוראת השעה 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2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העונש המרבי הקבוע בצדה של העבירה בה הורשע הנאשם הוא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ורבע ממנו עומד על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חלקו יוטל כענישה צופה פני עתיד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לאור האמור לעיל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ולאחר ששקלתי את כלל השיקולים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אני גוזרת על הנאשם את העונשים הבאים</w:t>
      </w:r>
      <w:r>
        <w:rPr>
          <w:rFonts w:eastAsia="David"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בפועל החל מיום מעצרו </w:t>
      </w:r>
      <w:r>
        <w:rPr>
          <w:rFonts w:eastAsia="David" w:cs="David" w:ascii="David" w:hAnsi="David"/>
          <w:b/>
          <w:bCs/>
        </w:rPr>
        <w:t>23.1.22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מאסר על תנאי בן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לבל יעבור הנאשם עבירת נשק מסוג פשע תוך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שחרורו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קנס בסך </w:t>
      </w:r>
      <w:r>
        <w:rPr>
          <w:rFonts w:eastAsia="David" w:cs="David" w:ascii="David" w:hAnsi="David"/>
        </w:rPr>
        <w:t>3,000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או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הקנס ישולם בשלושה תשלומים שווים ורצופים החל מיום </w:t>
      </w:r>
      <w:r>
        <w:rPr>
          <w:rFonts w:eastAsia="David" w:cs="David" w:ascii="David" w:hAnsi="David"/>
        </w:rPr>
        <w:t>1.1.2023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הנשק והתחמושת יושמדו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6968-02-22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2"/>
        <w:rFonts w:ascii="David" w:hAnsi="David" w:eastAsia="Calibri" w:cs="David"/>
        <w:lang w:val="en-US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eastAsia="Calibri" w:cs="David"/>
      <w:sz w:val="22"/>
      <w:lang w:val="en-US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894608" TargetMode="External"/><Relationship Id="rId8" Type="http://schemas.openxmlformats.org/officeDocument/2006/relationships/hyperlink" Target="http://www.nevo.co.il/case/27911638" TargetMode="External"/><Relationship Id="rId9" Type="http://schemas.openxmlformats.org/officeDocument/2006/relationships/hyperlink" Target="http://www.nevo.co.il/case/28152132" TargetMode="External"/><Relationship Id="rId10" Type="http://schemas.openxmlformats.org/officeDocument/2006/relationships/hyperlink" Target="http://www.nevo.co.il/case/28452933" TargetMode="External"/><Relationship Id="rId11" Type="http://schemas.openxmlformats.org/officeDocument/2006/relationships/hyperlink" Target="http://www.nevo.co.il/case/27305799" TargetMode="External"/><Relationship Id="rId12" Type="http://schemas.openxmlformats.org/officeDocument/2006/relationships/hyperlink" Target="http://www.nevo.co.il/case/5568354" TargetMode="External"/><Relationship Id="rId13" Type="http://schemas.openxmlformats.org/officeDocument/2006/relationships/hyperlink" Target="http://www.nevo.co.il/case/27933514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8513828" TargetMode="External"/><Relationship Id="rId17" Type="http://schemas.openxmlformats.org/officeDocument/2006/relationships/hyperlink" Target="http://www.nevo.co.il/case/27491153" TargetMode="External"/><Relationship Id="rId18" Type="http://schemas.openxmlformats.org/officeDocument/2006/relationships/hyperlink" Target="http://www.nevo.co.il/case/27911638" TargetMode="External"/><Relationship Id="rId19" Type="http://schemas.openxmlformats.org/officeDocument/2006/relationships/hyperlink" Target="http://www.nevo.co.il/case/25528737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16913730" TargetMode="External"/><Relationship Id="rId22" Type="http://schemas.openxmlformats.org/officeDocument/2006/relationships/hyperlink" Target="http://www.nevo.co.il/case/2851382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2023-09-28T10:49:00Z</dcterms:created>
  <dc:creator> </dc:creator>
  <dc:description/>
  <cp:keywords/>
  <dc:language>en-IL</dc:language>
  <cp:lastModifiedBy>h1</cp:lastModifiedBy>
  <dcterms:modified xsi:type="dcterms:W3CDTF">2023-09-28T10:49:00Z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27894608;27911638:2;28152132;28452933;27305799;5568354;27933514;28513828:2;27491153;25528737;26913995;16913730</vt:lpwstr>
  </property>
  <property fmtid="{D5CDD505-2E9C-101B-9397-08002B2CF9AE}" pid="9" name="CITY">
    <vt:lpwstr>מרכז</vt:lpwstr>
  </property>
  <property fmtid="{D5CDD505-2E9C-101B-9397-08002B2CF9AE}" pid="10" name="DATE">
    <vt:lpwstr>20221020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70301/144.a;144.c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6968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390020221020</vt:lpwstr>
  </property>
  <property fmtid="{D5CDD505-2E9C-101B-9397-08002B2CF9AE}" pid="34" name="TYPE_N_DATE">
    <vt:lpwstr>39020221020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