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6990-03-13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  <w:br/>
            </w:r>
            <w:r>
              <w:rPr>
                <w:b/>
                <w:b/>
                <w:bCs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רמלה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מוריץ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פלוני</w:t>
            </w:r>
            <w:r>
              <w:rPr>
                <w:b/>
                <w:bCs/>
                <w:rtl w:val="true"/>
              </w:rPr>
              <w:br/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ראיס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433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אורנה אליגון דר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המשפט הפלילי כתרפיה –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כו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2010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491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הדר דנציג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רוזנברג ודנה פוגץ</w:t>
        </w:r>
        <w:r>
          <w:rPr>
            <w:rStyle w:val="Hyperlink"/>
            <w:rFonts w:cs="FrankRuehl" w:ascii="FrankRuehl" w:hAnsi="FrankRuehl"/>
            <w:rtl w:val="true"/>
          </w:rPr>
          <w:t>', ""</w:t>
        </w:r>
        <w:r>
          <w:rPr>
            <w:rStyle w:val="Hyperlink"/>
            <w:rFonts w:ascii="FrankRuehl" w:hAnsi="FrankRuehl" w:cs="FrankRuehl"/>
            <w:rtl w:val="true"/>
          </w:rPr>
          <w:t>כשאהבה כואבת</w:t>
        </w:r>
        <w:r>
          <w:rPr>
            <w:rStyle w:val="Hyperlink"/>
            <w:rFonts w:cs="FrankRuehl" w:ascii="FrankRuehl" w:hAnsi="FrankRuehl"/>
            <w:rtl w:val="true"/>
          </w:rPr>
          <w:t xml:space="preserve">": </w:t>
        </w:r>
        <w:r>
          <w:rPr>
            <w:rStyle w:val="Hyperlink"/>
            <w:rFonts w:ascii="FrankRuehl" w:hAnsi="FrankRuehl" w:cs="FrankRuehl"/>
            <w:rtl w:val="true"/>
          </w:rPr>
          <w:t>על דילמת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כו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2010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589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טלי גל</w:t>
        </w:r>
        <w:r>
          <w:rPr>
            <w:rStyle w:val="Hyperlink"/>
            <w:rFonts w:cs="FrankRuehl" w:ascii="FrankRuehl" w:hAnsi="FrankRuehl"/>
            <w:rtl w:val="true"/>
          </w:rPr>
          <w:t xml:space="preserve">; </w:t>
        </w:r>
        <w:r>
          <w:rPr>
            <w:rStyle w:val="Hyperlink"/>
            <w:rFonts w:ascii="FrankRuehl" w:hAnsi="FrankRuehl" w:cs="FrankRuehl"/>
            <w:rtl w:val="true"/>
          </w:rPr>
          <w:t>הדר דנציג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רוזנברג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צדק מאחה וצדק עונשי</w:t>
        </w:r>
        <w:r>
          <w:rPr>
            <w:rStyle w:val="Hyperlink"/>
            <w:rFonts w:cs="FrankRuehl" w:ascii="FrankRuehl" w:hAnsi="FrankRuehl"/>
            <w:rtl w:val="true"/>
          </w:rPr>
          <w:t xml:space="preserve">:", </w:t>
        </w:r>
        <w:r>
          <w:rPr>
            <w:rStyle w:val="Hyperlink"/>
            <w:rFonts w:ascii="FrankRuehl" w:hAnsi="FrankRuehl" w:cs="FrankRuehl"/>
            <w:rtl w:val="true"/>
          </w:rPr>
          <w:t>משפטים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מג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 xml:space="preserve">אפריל </w:t>
        </w:r>
        <w:r>
          <w:rPr>
            <w:rStyle w:val="Hyperlink"/>
            <w:rFonts w:cs="FrankRuehl" w:ascii="FrankRuehl" w:hAnsi="FrankRuehl"/>
          </w:rPr>
          <w:t>2013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779</w:t>
        </w:r>
      </w:hyperlink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cs="FrankRuehl" w:ascii="FrankRuehl" w:hAnsi="FrankRuehl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71</w:t>
        </w:r>
        <w:r>
          <w:rPr>
            <w:rStyle w:val="Hyperlink"/>
            <w:rFonts w:ascii="FrankRuehl" w:hAnsi="FrankRuehl" w:cs="FrankRuehl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</w:rPr>
          <w:t>187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192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תקנות שירותי הדת היהודיים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ניהול מועצות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4">
        <w:r>
          <w:rPr>
            <w:rStyle w:val="Hyperlink"/>
            <w:rFonts w:ascii="FrankRuehl" w:hAnsi="FrankRuehl" w:cs="FrankRuehl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</w:rPr>
          <w:t>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</w:rPr>
          <w:t>8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</w:rPr>
          <w:t>16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</w:rPr>
          <w:t>17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</w:rPr>
          <w:t>18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</w:rPr>
          <w:t>18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20</w:t>
        </w:r>
        <w:r>
          <w:rPr>
            <w:rStyle w:val="Hyperlink"/>
            <w:rFonts w:cs="FrankRuehl" w:ascii="FrankRuehl" w:hAnsi="FrankRuehl"/>
            <w:rtl w:val="true"/>
          </w:rPr>
          <w:t>).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ההתחשבות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זוגו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אינטגר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שהרוח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הנושבת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מפסיקתו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הקריירה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והתעסוקה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רלוונטית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רצונה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Start w:id="10" w:name="Links_Kitvei_End"/>
            <w:bookmarkStart w:id="11" w:name="LawTable_End"/>
            <w:bookmarkEnd w:id="9"/>
            <w:bookmarkEnd w:id="10"/>
            <w:bookmarkEnd w:id="1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ג ז 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rFonts w:cs="David"/>
          </w:rPr>
          <w:t>382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25.2.13</w:t>
      </w:r>
      <w:r>
        <w:rPr>
          <w:rtl w:val="true"/>
        </w:rPr>
        <w:t xml:space="preserve">,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...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11:00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...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והתנהל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 xml:space="preserve">, </w:t>
      </w:r>
      <w:r>
        <w:rPr>
          <w:rtl w:val="true"/>
        </w:rPr>
        <w:t>נמלטה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ובישבנה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25.2.13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31.8.14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21.9.14</w:t>
      </w:r>
      <w:r>
        <w:rPr>
          <w:rtl w:val="true"/>
        </w:rPr>
        <w:t xml:space="preserve">.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אקדמיים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בסמינר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יעקב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מקיימים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בתנועת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קואליציוני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המועצה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רמלה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להרשיע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סטייה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מהמתחם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מטעמי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שיקום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)).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השיקולים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>.</w:t>
        <w:tab/>
      </w:r>
      <w:hyperlink r:id="rId5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5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5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192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54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הפלילי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[</w:t>
      </w:r>
      <w:r>
        <w:rPr>
          <w:rStyle w:val="normal-h"/>
          <w:rFonts w:cs="David"/>
          <w:color w:val="000000"/>
          <w:rtl w:val="true"/>
        </w:rPr>
        <w:t>נוסח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משולב</w:t>
      </w:r>
      <w:r>
        <w:rPr>
          <w:rStyle w:val="normal-h"/>
          <w:rFonts w:cs="David"/>
          <w:color w:val="000000"/>
          <w:rtl w:val="true"/>
        </w:rPr>
        <w:t>]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תשמ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חוק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סדר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הפלילי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13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55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2083/96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כתב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5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2669/00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5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9262/03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58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5102/03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59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9150/08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ביטון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6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9893/06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לאופר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], (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</w:t>
      </w:r>
      <w:r>
        <w:rPr>
          <w:sz w:val="28"/>
          <w:sz w:val="28"/>
          <w:szCs w:val="28"/>
          <w:u w:val="single"/>
          <w:rtl w:val="true"/>
        </w:rPr>
        <w:t>ה</w:t>
      </w:r>
      <w:r>
        <w:rPr>
          <w:sz w:val="28"/>
          <w:sz w:val="28"/>
          <w:szCs w:val="28"/>
          <w:u w:val="single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שירותי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היהודיים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ניהול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מועצות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  <w:t>"</w:t>
      </w:r>
      <w:r>
        <w:rPr/>
        <w:t>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4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אופיה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חומרתן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אלימות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במשפחה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והתעסוקה</w:t>
      </w:r>
      <w:r>
        <w:rPr>
          <w:rtl w:val="true"/>
        </w:rPr>
        <w:t xml:space="preserve">. </w:t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tl w:val="true"/>
        </w:rPr>
        <w:t xml:space="preserve">).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1.1.13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10.6.14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</w:t>
      </w:r>
      <w:r>
        <w:rPr>
          <w:rtl w:val="true"/>
        </w:rPr>
        <w:t>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10.4.14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– </w:t>
      </w:r>
      <w:r>
        <w:rPr/>
        <w:t>15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בשלמותה</w:t>
      </w:r>
      <w:r>
        <w:rPr>
          <w:rtl w:val="true"/>
        </w:rPr>
        <w:t xml:space="preserve">.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הנישואים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13-18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לקראתנו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ורגישה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</w:t>
      </w:r>
      <w:r>
        <w:rPr>
          <w:rtl w:val="true"/>
        </w:rPr>
        <w:t>–</w:t>
      </w:r>
      <w:r>
        <w:rPr>
          <w:rtl w:val="true"/>
        </w:rPr>
        <w:t>רוזנברג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ודנה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>' "</w:t>
        </w:r>
        <w:r>
          <w:rPr>
            <w:rStyle w:val="Hyperlink"/>
            <w:color w:val="0000FF"/>
            <w:u w:val="single"/>
            <w:rtl w:val="true"/>
          </w:rPr>
          <w:t>כשאהבה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כואבת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דילמת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מחקרי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/>
        <w:t>589</w:t>
      </w:r>
      <w:r>
        <w:rPr>
          <w:rtl w:val="true"/>
        </w:rPr>
        <w:t xml:space="preserve"> – </w:t>
      </w:r>
      <w:r>
        <w:rPr/>
        <w:t>652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25.5.11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1.8.13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</w:t>
      </w:r>
      <w:r>
        <w:rPr>
          <w:rtl w:val="true"/>
        </w:rPr>
        <w:t xml:space="preserve">,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tl w:val="true"/>
        </w:rPr>
        <w:t xml:space="preserve">, </w:t>
      </w:r>
      <w:r>
        <w:rPr>
          <w:rtl w:val="true"/>
        </w:rPr>
        <w:t>געגועים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ואמון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יהיו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שדווקא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פתרונות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חלופיים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עשויה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פיתרון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המעניק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המאמר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המאופיינת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מנקודת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פמיניסטית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נקודת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סוציאלית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המחברות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ובהנחה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להשתתפות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המחברות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מדגישות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/>
        <w:t>restorative justice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 </w:t>
      </w:r>
      <w:r>
        <w:rPr>
          <w:rtl w:val="true"/>
        </w:rPr>
        <w:t>אורנה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אליגון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כתרפיה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</w:hyperlink>
      <w:r>
        <w:rPr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מחקרי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/>
        <w:t>491</w:t>
      </w:r>
      <w:r>
        <w:rPr>
          <w:rtl w:val="true"/>
        </w:rPr>
        <w:t xml:space="preserve"> -</w:t>
      </w:r>
      <w:r>
        <w:rPr/>
        <w:t>516</w:t>
      </w:r>
      <w:r>
        <w:rPr>
          <w:rtl w:val="true"/>
        </w:rPr>
        <w:t xml:space="preserve">;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דנציג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רוזנברג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צדק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מאחה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וצדק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</w:hyperlink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משפטים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 xml:space="preserve">'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 xml:space="preserve">) </w:t>
      </w:r>
      <w:r>
        <w:rPr/>
        <w:t>779</w:t>
      </w:r>
      <w:r>
        <w:rPr>
          <w:rtl w:val="true"/>
        </w:rPr>
        <w:t xml:space="preserve"> – </w:t>
      </w:r>
      <w:r>
        <w:rPr/>
        <w:t>830</w:t>
      </w:r>
      <w:r>
        <w:rPr>
          <w:rtl w:val="true"/>
        </w:rPr>
        <w:t xml:space="preserve">;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שפירא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הגיעה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לסולחה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- </w:t>
      </w:r>
      <w:r>
        <w:rPr/>
        <w:t>458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הרישא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8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16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17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18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20</w:t>
        </w:r>
        <w:r>
          <w:rPr>
            <w:rStyle w:val="Hyperlink"/>
            <w:rFonts w:cs="David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6689/12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עיזבון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היועמ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4.12.13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tl w:val="true"/>
        </w:rPr>
        <w:t xml:space="preserve">).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כאינדיבידואל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9.2.14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מאמרה</w:t>
      </w:r>
      <w:r>
        <w:rPr>
          <w:rtl w:val="true"/>
        </w:rPr>
        <w:t xml:space="preserve">,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 (</w:t>
      </w:r>
      <w:r>
        <w:rPr>
          <w:rtl w:val="true"/>
        </w:rPr>
        <w:t>עורכים</w:t>
      </w:r>
      <w:r>
        <w:rPr>
          <w:rtl w:val="true"/>
        </w:rPr>
        <w:t xml:space="preserve">: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האן</w:t>
      </w:r>
      <w:r>
        <w:rPr>
          <w:rtl w:val="true"/>
        </w:rPr>
        <w:t xml:space="preserve">,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) </w:t>
      </w:r>
      <w:r>
        <w:rPr/>
        <w:t>189</w:t>
      </w:r>
      <w:r>
        <w:rPr>
          <w:rtl w:val="true"/>
        </w:rPr>
        <w:t xml:space="preserve">, </w:t>
      </w:r>
      <w:r>
        <w:rPr/>
        <w:t>191</w:t>
      </w:r>
      <w:r>
        <w:rPr>
          <w:rtl w:val="true"/>
        </w:rPr>
        <w:t xml:space="preserve"> – </w:t>
      </w:r>
      <w:r>
        <w:rPr/>
        <w:t>193</w:t>
      </w:r>
      <w:r>
        <w:rPr>
          <w:rtl w:val="true"/>
        </w:rPr>
        <w:t xml:space="preserve">).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עיזבון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13.2.14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18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;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)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מול</w:t>
      </w:r>
      <w:r>
        <w:rPr>
          <w:rtl w:val="true"/>
        </w:rPr>
        <w:t>" 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tl w:val="true"/>
        </w:rPr>
        <w:t xml:space="preserve">") </w:t>
      </w:r>
      <w:r>
        <w:rPr>
          <w:rtl w:val="true"/>
        </w:rPr>
        <w:t>קולו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" </w:t>
      </w:r>
      <w:r>
        <w:rPr>
          <w:rtl w:val="true"/>
        </w:rPr>
        <w:t>כמשמעות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כיווני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</w:t>
      </w:r>
      <w:r>
        <w:rPr>
          <w:rtl w:val="true"/>
        </w:rPr>
        <w:t xml:space="preserve">"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23.4.14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".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איחוי</w:t>
      </w:r>
      <w:r>
        <w:rPr>
          <w:rtl w:val="true"/>
        </w:rPr>
        <w:t xml:space="preserve">"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בזהירות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sentencing guidelines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</w:rPr>
        <w:t>Sentencing Council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המועצה</w:t>
      </w:r>
      <w:r>
        <w:rPr>
          <w:rtl w:val="true"/>
        </w:rPr>
        <w:t xml:space="preserve">)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hyperlink r:id="rId10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;</w:t>
      </w:r>
      <w:r>
        <w:rPr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24143-01-11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9.7.12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b/>
          <w:bCs/>
        </w:rPr>
        <w:t>Overarching Principles: Domestic Violence – Definitive Guideline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rFonts w:cs="David"/>
          </w:rPr>
          <w:t>www.sentencingcouncil.judiciary.gov.uk</w:t>
        </w:r>
      </w:hyperlink>
      <w:r>
        <w:rPr>
          <w:rtl w:val="true"/>
        </w:rPr>
        <w:t xml:space="preserve">.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4.1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4.3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bidi w:val="0"/>
        <w:spacing w:lineRule="auto" w:line="360"/>
        <w:ind w:start="567" w:end="2551"/>
        <w:jc w:val="both"/>
        <w:rPr>
          <w:u w:val="single"/>
        </w:rPr>
      </w:pPr>
      <w:r>
        <w:rPr/>
        <w:t xml:space="preserve">" </w:t>
      </w:r>
      <w:r>
        <w:rPr>
          <w:b/>
          <w:bCs/>
          <w:u w:val="single"/>
        </w:rPr>
        <w:t>Wishes of the victim and effect of the sentence</w:t>
      </w:r>
    </w:p>
    <w:p>
      <w:pPr>
        <w:pStyle w:val="Normal"/>
        <w:bidi w:val="0"/>
        <w:spacing w:lineRule="auto" w:line="360"/>
        <w:ind w:start="567" w:end="2551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  <w:t>4.1</w:t>
        <w:tab/>
        <w:t xml:space="preserve">As a matter of general principle, a sentence imposed for an offence of violence should be determined by the seriousness of the offence, not by the expressed wishes of the victim. </w:t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  <w:t>4.2</w:t>
        <w:tab/>
        <w:t xml:space="preserve">There are a number of reasons why it may be particularly important that this principle is observed in a case of domestic violence: </w:t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  <w:t>* it is undesirable that a victim should feel a responsibility for the sentence imposed;</w:t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  <w:t>*</w:t>
        <w:tab/>
        <w:t xml:space="preserve">  there is a risk that a plea for mercy made by a victim will be induced by threats made by, or by a fear of, the offender;</w:t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  <w:t xml:space="preserve">*  the risk of such threats will be increased it is generally believed that the severity of the sentence may be affected by the wishes of the victim. </w:t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</w:r>
    </w:p>
    <w:p>
      <w:pPr>
        <w:pStyle w:val="Normal"/>
        <w:bidi w:val="0"/>
        <w:spacing w:lineRule="auto" w:line="360"/>
        <w:ind w:start="567" w:end="2551"/>
        <w:jc w:val="both"/>
        <w:rPr/>
      </w:pPr>
      <w:r>
        <w:rPr/>
        <w:t>4.3</w:t>
        <w:tab/>
        <w:t xml:space="preserve">Nonetheless, there may be circumstances in which the court can properly mitigate a sentence to give effect to the expressed wish of the victim that the relationship be permitted to continue. The court must, however, </w:t>
      </w:r>
      <w:r>
        <w:rPr>
          <w:b/>
          <w:bCs/>
        </w:rPr>
        <w:t>be confident that such a wish is genuine, and that giving effect to it will not expose the victim to a real risk of further violence</w:t>
      </w:r>
      <w:r>
        <w:rPr/>
        <w:t xml:space="preserve">. Critical conditions are likely to be the seriousness of the offence and the history of the relationship. It is vitally important that the court has up-to-date information in a </w:t>
      </w:r>
      <w:r>
        <w:rPr>
          <w:b/>
          <w:bCs/>
        </w:rPr>
        <w:t>pre-sentence report and victim personal statement</w:t>
      </w:r>
      <w:r>
        <w:rPr/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להכפיף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</w:t>
      </w:r>
      <w:r>
        <w:rPr>
          <w:rtl w:val="true"/>
        </w:rPr>
        <w:t>ס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>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נאשם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</w:t>
      </w:r>
      <w:r>
        <w:rPr>
          <w:rtl w:val="true"/>
        </w:rPr>
        <w:t>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</w:t>
      </w:r>
      <w:r>
        <w:rPr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,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</w:t>
      </w:r>
      <w:r>
        <w:rPr>
          <w:rtl w:val="true"/>
        </w:rPr>
        <w:t>ש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08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08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080" w:start="1440"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7003-03-13</w:t>
        </w:r>
      </w:hyperlink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08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0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06"/>
      <w:footerReference w:type="default" r:id="rId10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Unicode MS">
    <w:charset w:val="80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6990-03-13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normal-h">
    <w:name w:val="normal-h"/>
    <w:basedOn w:val="DefaultParagraphFont"/>
    <w:qFormat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safrut/book/3998" TargetMode="External"/><Relationship Id="rId5" Type="http://schemas.openxmlformats.org/officeDocument/2006/relationships/hyperlink" Target="http://www.nevo.co.il/safrut/book/4001" TargetMode="External"/><Relationship Id="rId6" Type="http://schemas.openxmlformats.org/officeDocument/2006/relationships/hyperlink" Target="http://www.nevo.co.il/safrut/book/14727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71a.b.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82.c.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a.5." TargetMode="External"/><Relationship Id="rId16" Type="http://schemas.openxmlformats.org/officeDocument/2006/relationships/hyperlink" Target="http://www.nevo.co.il/law/70301/40jb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87" TargetMode="External"/><Relationship Id="rId20" Type="http://schemas.openxmlformats.org/officeDocument/2006/relationships/hyperlink" Target="http://www.nevo.co.il/law/74903/192a" TargetMode="External"/><Relationship Id="rId21" Type="http://schemas.openxmlformats.org/officeDocument/2006/relationships/hyperlink" Target="http://www.nevo.co.il/law/90831" TargetMode="External"/><Relationship Id="rId22" Type="http://schemas.openxmlformats.org/officeDocument/2006/relationships/hyperlink" Target="http://www.nevo.co.il/law/90831/4.c." TargetMode="External"/><Relationship Id="rId23" Type="http://schemas.openxmlformats.org/officeDocument/2006/relationships/hyperlink" Target="http://www.nevo.co.il/law/90831/4a" TargetMode="External"/><Relationship Id="rId24" Type="http://schemas.openxmlformats.org/officeDocument/2006/relationships/hyperlink" Target="http://www.nevo.co.il/law/71835" TargetMode="External"/><Relationship Id="rId25" Type="http://schemas.openxmlformats.org/officeDocument/2006/relationships/hyperlink" Target="http://www.nevo.co.il/law/71835/1" TargetMode="External"/><Relationship Id="rId26" Type="http://schemas.openxmlformats.org/officeDocument/2006/relationships/hyperlink" Target="http://www.nevo.co.il/law/71835/8" TargetMode="External"/><Relationship Id="rId27" Type="http://schemas.openxmlformats.org/officeDocument/2006/relationships/hyperlink" Target="http://www.nevo.co.il/law/71835/16" TargetMode="External"/><Relationship Id="rId28" Type="http://schemas.openxmlformats.org/officeDocument/2006/relationships/hyperlink" Target="http://www.nevo.co.il/law/71835/17" TargetMode="External"/><Relationship Id="rId29" Type="http://schemas.openxmlformats.org/officeDocument/2006/relationships/hyperlink" Target="http://www.nevo.co.il/law/71835/18" TargetMode="External"/><Relationship Id="rId30" Type="http://schemas.openxmlformats.org/officeDocument/2006/relationships/hyperlink" Target="http://www.nevo.co.il/law/71835/18.a." TargetMode="External"/><Relationship Id="rId31" Type="http://schemas.openxmlformats.org/officeDocument/2006/relationships/hyperlink" Target="http://www.nevo.co.il/law/71835/19" TargetMode="External"/><Relationship Id="rId32" Type="http://schemas.openxmlformats.org/officeDocument/2006/relationships/hyperlink" Target="http://www.nevo.co.il/law/71835/20" TargetMode="External"/><Relationship Id="rId33" Type="http://schemas.openxmlformats.org/officeDocument/2006/relationships/hyperlink" Target="http://www.nevo.co.il/law/70301/19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52" TargetMode="External"/><Relationship Id="rId36" Type="http://schemas.openxmlformats.org/officeDocument/2006/relationships/hyperlink" Target="http://www.nevo.co.il/law/70301/380" TargetMode="External"/><Relationship Id="rId37" Type="http://schemas.openxmlformats.org/officeDocument/2006/relationships/hyperlink" Target="http://www.nevo.co.il/law/70301/382.c." TargetMode="External"/><Relationship Id="rId38" Type="http://schemas.openxmlformats.org/officeDocument/2006/relationships/hyperlink" Target="http://www.nevo.co.il/law/70301/19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950458" TargetMode="External"/><Relationship Id="rId42" Type="http://schemas.openxmlformats.org/officeDocument/2006/relationships/hyperlink" Target="http://www.nevo.co.il/case/6824952" TargetMode="External"/><Relationship Id="rId43" Type="http://schemas.openxmlformats.org/officeDocument/2006/relationships/hyperlink" Target="http://www.nevo.co.il/case/6473037" TargetMode="External"/><Relationship Id="rId44" Type="http://schemas.openxmlformats.org/officeDocument/2006/relationships/hyperlink" Target="http://www.nevo.co.il/case/6247978" TargetMode="External"/><Relationship Id="rId45" Type="http://schemas.openxmlformats.org/officeDocument/2006/relationships/hyperlink" Target="http://www.nevo.co.il/case/5606505" TargetMode="External"/><Relationship Id="rId46" Type="http://schemas.openxmlformats.org/officeDocument/2006/relationships/hyperlink" Target="http://www.nevo.co.il/case/5568571" TargetMode="External"/><Relationship Id="rId47" Type="http://schemas.openxmlformats.org/officeDocument/2006/relationships/hyperlink" Target="http://www.nevo.co.il/case/5588053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6824952" TargetMode="External"/><Relationship Id="rId51" Type="http://schemas.openxmlformats.org/officeDocument/2006/relationships/hyperlink" Target="http://www.nevo.co.il/law/70301/71a.b.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4903/192a" TargetMode="External"/><Relationship Id="rId54" Type="http://schemas.openxmlformats.org/officeDocument/2006/relationships/hyperlink" Target="http://www.nevo.co.il/law/74903" TargetMode="External"/><Relationship Id="rId55" Type="http://schemas.openxmlformats.org/officeDocument/2006/relationships/hyperlink" Target="http://www.nevo.co.il/case/5810781" TargetMode="External"/><Relationship Id="rId56" Type="http://schemas.openxmlformats.org/officeDocument/2006/relationships/hyperlink" Target="http://www.nevo.co.il/case/5849797" TargetMode="External"/><Relationship Id="rId57" Type="http://schemas.openxmlformats.org/officeDocument/2006/relationships/hyperlink" Target="http://www.nevo.co.il/case/6240015" TargetMode="External"/><Relationship Id="rId58" Type="http://schemas.openxmlformats.org/officeDocument/2006/relationships/hyperlink" Target="http://www.nevo.co.il/case/5993495" TargetMode="External"/><Relationship Id="rId59" Type="http://schemas.openxmlformats.org/officeDocument/2006/relationships/hyperlink" Target="http://www.nevo.co.il/case/6146169" TargetMode="External"/><Relationship Id="rId60" Type="http://schemas.openxmlformats.org/officeDocument/2006/relationships/hyperlink" Target="http://www.nevo.co.il/case/6161385" TargetMode="External"/><Relationship Id="rId61" Type="http://schemas.openxmlformats.org/officeDocument/2006/relationships/hyperlink" Target="http://www.nevo.co.il/law/90831/4.c." TargetMode="External"/><Relationship Id="rId62" Type="http://schemas.openxmlformats.org/officeDocument/2006/relationships/hyperlink" Target="http://www.nevo.co.il/law/90831/4a" TargetMode="External"/><Relationship Id="rId63" Type="http://schemas.openxmlformats.org/officeDocument/2006/relationships/hyperlink" Target="http://www.nevo.co.il/law/90831" TargetMode="External"/><Relationship Id="rId64" Type="http://schemas.openxmlformats.org/officeDocument/2006/relationships/hyperlink" Target="http://www.nevo.co.il/case/6247978" TargetMode="External"/><Relationship Id="rId65" Type="http://schemas.openxmlformats.org/officeDocument/2006/relationships/hyperlink" Target="http://www.nevo.co.il/case/5611948" TargetMode="External"/><Relationship Id="rId66" Type="http://schemas.openxmlformats.org/officeDocument/2006/relationships/hyperlink" Target="http://www.nevo.co.il/case/16941543" TargetMode="External"/><Relationship Id="rId67" Type="http://schemas.openxmlformats.org/officeDocument/2006/relationships/hyperlink" Target="http://www.nevo.co.il/safrut/book/4001" TargetMode="External"/><Relationship Id="rId68" Type="http://schemas.openxmlformats.org/officeDocument/2006/relationships/hyperlink" Target="http://www.nevo.co.il/case/6192568" TargetMode="External"/><Relationship Id="rId69" Type="http://schemas.openxmlformats.org/officeDocument/2006/relationships/hyperlink" Target="http://www.nevo.co.il/case/7680032" TargetMode="External"/><Relationship Id="rId70" Type="http://schemas.openxmlformats.org/officeDocument/2006/relationships/hyperlink" Target="http://www.nevo.co.il/law/70301/40b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safrut/book/3998" TargetMode="External"/><Relationship Id="rId73" Type="http://schemas.openxmlformats.org/officeDocument/2006/relationships/hyperlink" Target="http://www.nevo.co.il/safrut/book/14727" TargetMode="External"/><Relationship Id="rId74" Type="http://schemas.openxmlformats.org/officeDocument/2006/relationships/hyperlink" Target="http://www.nevo.co.il/safrut/book/3366" TargetMode="External"/><Relationship Id="rId75" Type="http://schemas.openxmlformats.org/officeDocument/2006/relationships/hyperlink" Target="http://www.nevo.co.il/law/71835" TargetMode="External"/><Relationship Id="rId76" Type="http://schemas.openxmlformats.org/officeDocument/2006/relationships/hyperlink" Target="http://www.nevo.co.il/law/71835/1" TargetMode="External"/><Relationship Id="rId77" Type="http://schemas.openxmlformats.org/officeDocument/2006/relationships/hyperlink" Target="http://www.nevo.co.il/law/71835/8" TargetMode="External"/><Relationship Id="rId78" Type="http://schemas.openxmlformats.org/officeDocument/2006/relationships/hyperlink" Target="http://www.nevo.co.il/law/71835/16" TargetMode="External"/><Relationship Id="rId79" Type="http://schemas.openxmlformats.org/officeDocument/2006/relationships/hyperlink" Target="http://www.nevo.co.il/law/71835/17" TargetMode="External"/><Relationship Id="rId80" Type="http://schemas.openxmlformats.org/officeDocument/2006/relationships/hyperlink" Target="http://www.nevo.co.il/law/71835/18" TargetMode="External"/><Relationship Id="rId81" Type="http://schemas.openxmlformats.org/officeDocument/2006/relationships/hyperlink" Target="http://www.nevo.co.il/law/71835/19" TargetMode="External"/><Relationship Id="rId82" Type="http://schemas.openxmlformats.org/officeDocument/2006/relationships/hyperlink" Target="http://www.nevo.co.il/law/71835/20" TargetMode="External"/><Relationship Id="rId83" Type="http://schemas.openxmlformats.org/officeDocument/2006/relationships/hyperlink" Target="http://www.nevo.co.il/case/5596524" TargetMode="External"/><Relationship Id="rId84" Type="http://schemas.openxmlformats.org/officeDocument/2006/relationships/hyperlink" Target="http://www.nevo.co.il/case/7712596" TargetMode="External"/><Relationship Id="rId85" Type="http://schemas.openxmlformats.org/officeDocument/2006/relationships/hyperlink" Target="http://www.nevo.co.il/case/11206025" TargetMode="External"/><Relationship Id="rId86" Type="http://schemas.openxmlformats.org/officeDocument/2006/relationships/hyperlink" Target="http://www.nevo.co.il/law/71835" TargetMode="External"/><Relationship Id="rId87" Type="http://schemas.openxmlformats.org/officeDocument/2006/relationships/hyperlink" Target="http://www.nevo.co.il/law/71835/18.a." TargetMode="External"/><Relationship Id="rId88" Type="http://schemas.openxmlformats.org/officeDocument/2006/relationships/hyperlink" Target="http://www.nevo.co.il/law/71835" TargetMode="External"/><Relationship Id="rId89" Type="http://schemas.openxmlformats.org/officeDocument/2006/relationships/hyperlink" Target="http://www.nevo.co.il/law/74903" TargetMode="External"/><Relationship Id="rId90" Type="http://schemas.openxmlformats.org/officeDocument/2006/relationships/hyperlink" Target="http://www.nevo.co.il/law/74903/187" TargetMode="External"/><Relationship Id="rId91" Type="http://schemas.openxmlformats.org/officeDocument/2006/relationships/hyperlink" Target="http://www.nevo.co.il/law/74903" TargetMode="External"/><Relationship Id="rId92" Type="http://schemas.openxmlformats.org/officeDocument/2006/relationships/hyperlink" Target="http://www.nevo.co.il/law/71835/18" TargetMode="External"/><Relationship Id="rId93" Type="http://schemas.openxmlformats.org/officeDocument/2006/relationships/hyperlink" Target="http://www.nevo.co.il/law/71835" TargetMode="External"/><Relationship Id="rId94" Type="http://schemas.openxmlformats.org/officeDocument/2006/relationships/hyperlink" Target="http://www.nevo.co.il/case/10530324" TargetMode="External"/><Relationship Id="rId95" Type="http://schemas.openxmlformats.org/officeDocument/2006/relationships/hyperlink" Target="http://www.nevo.co.il/law/70301/40ja.5.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40jb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40ja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case/3936052" TargetMode="External"/><Relationship Id="rId102" Type="http://schemas.openxmlformats.org/officeDocument/2006/relationships/hyperlink" Target="http://www.nevo.co.il/case/2744344" TargetMode="External"/><Relationship Id="rId103" Type="http://schemas.openxmlformats.org/officeDocument/2006/relationships/hyperlink" Target="http://www.sentencingcouncil.judiciary.gov.uk/" TargetMode="External"/><Relationship Id="rId104" Type="http://schemas.openxmlformats.org/officeDocument/2006/relationships/hyperlink" Target="http://www.nevo.co.il/case/6720236" TargetMode="External"/><Relationship Id="rId105" Type="http://schemas.openxmlformats.org/officeDocument/2006/relationships/hyperlink" Target="http://www.nevo.co.il/advertisements/nevo-100.doc" TargetMode="External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2014-10-22T08:59:00Z</dcterms:created>
  <dc:creator> </dc:creator>
  <dc:description/>
  <cp:keywords/>
  <dc:language>en-IL</dc:language>
  <cp:lastModifiedBy>orly</cp:lastModifiedBy>
  <dcterms:modified xsi:type="dcterms:W3CDTF">2014-10-22T09:12:00Z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">
    <vt:lpwstr>3366;3998;4001;14727</vt:lpwstr>
  </property>
  <property fmtid="{D5CDD505-2E9C-101B-9397-08002B2CF9AE}" pid="9" name="CASESLISTTMP1">
    <vt:lpwstr>6950458;6824952:2;6473037;6247978:2;5606505;5568571;5588053;5810781;5849797;6240015;5993495;6146169;6161385;5611948;16941543;6192568;7680032;5596524;7712596;11206025;10530324;3936052;2744344;6720236</vt:lpwstr>
  </property>
  <property fmtid="{D5CDD505-2E9C-101B-9397-08002B2CF9AE}" pid="10" name="CITY">
    <vt:lpwstr>רמ'</vt:lpwstr>
  </property>
  <property fmtid="{D5CDD505-2E9C-101B-9397-08002B2CF9AE}" pid="11" name="DATE">
    <vt:lpwstr>20141002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70301/192:2;452;380;382.c.;040d;071a.b.;040b;40ja.5.;40jb;40ja</vt:lpwstr>
  </property>
  <property fmtid="{D5CDD505-2E9C-101B-9397-08002B2CF9AE}" pid="16" name="LAWLISTTMP2">
    <vt:lpwstr>74903/192a;187</vt:lpwstr>
  </property>
  <property fmtid="{D5CDD505-2E9C-101B-9397-08002B2CF9AE}" pid="17" name="LAWLISTTMP3">
    <vt:lpwstr>90831/004.c.;004a</vt:lpwstr>
  </property>
  <property fmtid="{D5CDD505-2E9C-101B-9397-08002B2CF9AE}" pid="18" name="LAWLISTTMP4">
    <vt:lpwstr>71835/001;008;016;017;018:2;019;020;018.a.</vt:lpwstr>
  </property>
  <property fmtid="{D5CDD505-2E9C-101B-9397-08002B2CF9AE}" pid="19" name="LAWYER">
    <vt:lpwstr>איריס מוריץ;ראיס אבו סייף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עומרי</vt:lpwstr>
  </property>
  <property fmtid="{D5CDD505-2E9C-101B-9397-08002B2CF9AE}" pid="26" name="NEWPARTA">
    <vt:lpwstr>6990</vt:lpwstr>
  </property>
  <property fmtid="{D5CDD505-2E9C-101B-9397-08002B2CF9AE}" pid="27" name="NEWPARTB">
    <vt:lpwstr>03</vt:lpwstr>
  </property>
  <property fmtid="{D5CDD505-2E9C-101B-9397-08002B2CF9AE}" pid="28" name="NEWPARTC">
    <vt:lpwstr>13</vt:lpwstr>
  </property>
  <property fmtid="{D5CDD505-2E9C-101B-9397-08002B2CF9AE}" pid="29" name="NEWPROC">
    <vt:lpwstr>תפ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1443;1446</vt:lpwstr>
  </property>
  <property fmtid="{D5CDD505-2E9C-101B-9397-08002B2CF9AE}" pid="52" name="NOSE31">
    <vt:lpwstr>אלימות במשפחה</vt:lpwstr>
  </property>
  <property fmtid="{D5CDD505-2E9C-101B-9397-08002B2CF9AE}" pid="53" name="NOSE310">
    <vt:lpwstr/>
  </property>
  <property fmtid="{D5CDD505-2E9C-101B-9397-08002B2CF9AE}" pid="54" name="NOSE32">
    <vt:lpwstr>מדיניות ענישה: אי-הרשעה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8765;11690</vt:lpwstr>
  </property>
  <property fmtid="{D5CDD505-2E9C-101B-9397-08002B2CF9AE}" pid="63" name="PADIDATE">
    <vt:lpwstr>20141022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/>
  </property>
  <property fmtid="{D5CDD505-2E9C-101B-9397-08002B2CF9AE}" pid="68" name="PROCNUM">
    <vt:lpwstr/>
  </property>
  <property fmtid="{D5CDD505-2E9C-101B-9397-08002B2CF9AE}" pid="69" name="PROCYEAR">
    <vt:lpwstr/>
  </property>
  <property fmtid="{D5CDD505-2E9C-101B-9397-08002B2CF9AE}" pid="70" name="PSAKDIN">
    <vt:lpwstr>גזר-דין</vt:lpwstr>
  </property>
  <property fmtid="{D5CDD505-2E9C-101B-9397-08002B2CF9AE}" pid="71" name="TYPE">
    <vt:lpwstr>3</vt:lpwstr>
  </property>
  <property fmtid="{D5CDD505-2E9C-101B-9397-08002B2CF9AE}" pid="72" name="TYPE_ABS_DATE">
    <vt:lpwstr>380120141002</vt:lpwstr>
  </property>
  <property fmtid="{D5CDD505-2E9C-101B-9397-08002B2CF9AE}" pid="73" name="TYPE_N_DATE">
    <vt:lpwstr>38020141002</vt:lpwstr>
  </property>
  <property fmtid="{D5CDD505-2E9C-101B-9397-08002B2CF9AE}" pid="74" name="VOLUME">
    <vt:lpwstr/>
  </property>
  <property fmtid="{D5CDD505-2E9C-101B-9397-08002B2CF9AE}" pid="75" name="WORDNUMPAGES">
    <vt:lpwstr>17</vt:lpwstr>
  </property>
</Properties>
</file>