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32"/>
        <w:gridCol w:w="1210"/>
        <w:gridCol w:w="245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69933-03-23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ומעה</w:t>
            </w:r>
          </w:p>
        </w:tc>
        <w:tc>
          <w:tcPr>
            <w:tcW w:w="3666" w:type="dxa"/>
            <w:gridSpan w:val="2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 אילן סלע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342" w:type="dxa"/>
            <w:gridSpan w:val="2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),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שי עציון</w:t>
            </w:r>
          </w:p>
        </w:tc>
        <w:tc>
          <w:tcPr>
            <w:tcW w:w="2555" w:type="dxa"/>
            <w:gridSpan w:val="2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34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ומעה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עיסא מוחמדיה</w:t>
            </w:r>
          </w:p>
        </w:tc>
        <w:tc>
          <w:tcPr>
            <w:tcW w:w="2555" w:type="dxa"/>
            <w:gridSpan w:val="2"/>
            <w:tcBorders/>
            <w:vAlign w:val="center"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8" w:name="ABSTRACT_START"/>
      <w:bookmarkStart w:id="9" w:name="_Hlk171334927"/>
      <w:bookmarkEnd w:id="8"/>
      <w:bookmarkEnd w:id="9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ומיידית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ולשלומו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ובהעלאת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5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בשמחת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תשפ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למותר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למטרות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בטחוני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ומיידית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ולשלומו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ובהעלאת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ולמאבק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בתופעות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הפשיעה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6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התפשטות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ההתחמשות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באוכלוסיה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ייחודיות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והשלכותיה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תשפ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המתגלגלים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מתגוררים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חווינו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ומטלטלת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בשמחת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תשפ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הספציפיות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העסקאות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מחלוקת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שחסכה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מצבה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הבריאותי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וחומרתן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והעדפת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10" w:name="_Hlk171334927"/>
      <w:bookmarkStart w:id="11" w:name="ABSTRACT_END"/>
      <w:bookmarkStart w:id="12" w:name="_Hlk171334927"/>
      <w:bookmarkStart w:id="13" w:name="ABSTRACT_END"/>
      <w:bookmarkEnd w:id="12"/>
      <w:bookmarkEnd w:id="13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Cs/>
                <w:sz w:val="36"/>
                <w:szCs w:val="36"/>
                <w:u w:val="single"/>
              </w:rPr>
            </w:pPr>
            <w:bookmarkStart w:id="14" w:name="PsakDin"/>
            <w:bookmarkEnd w:id="14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הודאתו 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ובעבירה של ניסיון 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אותו סעיף בצירוף </w:t>
      </w:r>
      <w:hyperlink r:id="rId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המתואר בכתב האישום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ליד חסן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וליד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לבין עומר אבו ליל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עומר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לבין סוכן ממשטרת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נוהל משא ומתן על גובה תמורה שתתקבל ועל סוג נשק שיימכר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וליד פנה לסוכן וציין בפניו כי הוא מעוניין לבצע עמו עסקאות נשק באמצעות עומר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 שוחחו השלושה ביניהם וסיכמו כי הסוכן ישוחח עם עומר אודות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עומר שלח לסוכן תמונה של אקדח תמורתו 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סך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למחרת היום לאחר מספר שיחות והודעות בין השלושה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שלח עומר תמונה וסרטון של אקדח אחר תמורתו 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סך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השניים סיכמו על ביצוע עסקה ביום </w:t>
      </w:r>
      <w:r>
        <w:rPr>
          <w:rFonts w:cs="FrankRuehl" w:ascii="FrankRuehl" w:hAnsi="FrankRuehl"/>
          <w:sz w:val="28"/>
          <w:szCs w:val="28"/>
        </w:rPr>
        <w:t>22.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2.23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בחזמ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22.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2.23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שוחחו הסוכן ועומר במטרה לקבוע את פרטי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השיחה אמר עומר לסוכן כי הנאשם יביא את האקדח למקום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התקשר לנאשם והשניים תיאמו ביניהם כי הסוכן יאסוף את האקדח מהנאשם בתחנת דלק בחז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 נפגשו בתחנת הדלק והנאשם נכנס לרכבו של הסוכן כשהוא מחזיק בתוך מעילו שקית ובה אקדח הזנקה חצי אוטומטי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שעבר הסבה לירי תחמושת קליעית שבכוחות להמית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ולאקדח צורפה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 מתאימה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אמר לנאשם כי ברצונו לבצע ירי באקדח כדי לבדוק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תקינותו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הנאשם סירב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יצר קשר עם עומר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חילופי דברים בין עומר לסוכן הוסכם כי הסוכן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יסע לבדו לקרבת מקום ויבצע ירי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להסכמה זו הנאשם ירד מהרכב והמתין לסוכן שנסע לכיוון ענתה וביצע ירי באמצעות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שראה כי האקדח תקין חזר אל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השניים נכנסו לרכב והסוכן שילם לנאשם סך של </w:t>
      </w:r>
      <w:r>
        <w:rPr>
          <w:rFonts w:cs="FrankRuehl" w:ascii="FrankRuehl" w:hAnsi="FrankRuehl"/>
          <w:sz w:val="28"/>
          <w:szCs w:val="28"/>
        </w:rPr>
        <w:t>21,000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האקדח והמחסנית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בהזדמנות אחרת שוחח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 עם עומר על מנת לתאם עסקה בה ימכור עומ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לסוכן נשק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שלח עומר לסוכן תמונה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מספר ימים לאחר מכן תיאמו ביניהם עומר והסוכן  כי עומר ימכור את הנשק לסוכן תמורת סך של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לסך של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שיעביר הסוכן לווליד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השלושה תיאמו כי הסוכן יאסוף את הנשק מהנאשם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יום </w:t>
      </w:r>
      <w:r>
        <w:rPr>
          <w:rFonts w:cs="FrankRuehl" w:ascii="FrankRuehl" w:hAnsi="FrankRuehl"/>
          <w:sz w:val="28"/>
          <w:szCs w:val="28"/>
        </w:rPr>
        <w:t>12.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3.23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בחזמ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12.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3.23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cs="FrankRuehl" w:ascii="FrankRuehl" w:hAnsi="FrankRuehl"/>
          <w:sz w:val="28"/>
          <w:szCs w:val="28"/>
        </w:rPr>
        <w:t>12:00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נתן עומר לסוכן התראה כי הנאשם יגיע למקום המפגש בעוד כחצי שעה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המתין לסוכן במונית כשברשותו נשק מפורק דמוי רובה 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בקליבר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</w:rPr>
        <w:t>.</w:t>
      </w:r>
      <w:r>
        <w:rPr>
          <w:rFonts w:cs="FrankRuehl" w:ascii="FrankRuehl" w:hAnsi="FrankRuehl"/>
          <w:sz w:val="28"/>
          <w:szCs w:val="28"/>
        </w:rPr>
        <w:t>56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ומכיל חלקי כלי נשק תקניים שבכוחו להמית 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בתוספת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מחסנית מתאימה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 נעצר הנאשם 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ציין את הערכים המוגנים שנפגעו ממעשי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הצורך בהחמרה בענישה בעבירות אלו בשל שכיחותן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 הגדול שנגרם בעטיין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זליגת נשק לידי ידיים עוינות עברייניות או לאומניות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ובהתאם לתיקון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הקובע עונש מינימום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הציג פסיקה המלמדת על הענישה הנוהגת וטען כי יש להחמיר בענישה עוד יותר מזו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ביצוע העבירה 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כי הנאשם הוא זה שביצע את העסקה בפועל שעה שהעביר את כלי הנשק לסוכן ביודעו מה הוא מוביל ואת הסיכון הכרוך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לקבוע מתחם עונש הולם הנע מחמש וחצי ועד שמונה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וקנס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ביטוי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אינטרס הכלכלי שבעבירות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ודאת הנאשם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עתר לגזור את עונשו של הנאשם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עמד על כך שהנאשם לא היה המקור של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 היכרותו של הנאשם עם עומר הייתה בשל עבודתו של הנאשם כנהג מונית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ולמעשה גם במסגרת העסקאות זה היה תפקידו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הובלת כלי הנשק במונית מהמוכרים ווליד ועומר אל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התמורה שקיבל הייתה בהתאם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התקיימו שיחות בין הסוכן והנאשם אודות העסקה מלבד תיאום 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מבחינה זו נכון לראות את מעשי הנאשם כעומדים על גבול הסיוע יותר מאשר כמבצע עיקרי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ציין את העובדה שווליד ועומר כלל לא נעצרו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העובדה שמדובר בכלי נשק שאינם תקניים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 הוא הדגיש כי הנאשם נוטל אחריות על מעשיו ואינו מפחית מחומרת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הציג גזרי דין שניתנו בעבירות דומות והצביע על כך שגזרי הדין עליהם ביקשה המאשימה להסתמך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עוסקים במקרים חמורים יותר מאשר מקרה זה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עמד על כך שהנאשם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במיוחס לו ומנע את הצורך בשמיעת עדות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תושב האזור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לשני ילדים שהוא המפרנס היחיד שלהם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ציין את תנאי הכליאה הקשים לעת הזו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של תושבי האזור שאינם זכאים לביקורי בני 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עמד על כך שמדובר בעבירות שבוצעו באזור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ביקש שבית המשפט ישית על הנאשם עונש החופף את תקופת מעצרו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שפעמים רבות נשק שנעשה בו שימוש מעין זה מוצא את דרכו לידיים עברייניות שעושות בו שימוש פלילי ואף בטחוני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פסיקה עקבית עומדת על כך שעבירות נשק לסוגיהן הן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המשקפת סכנה חמורה ומיידית לביטחון הציבור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ולשלומו ועל הצורך בענישה מחמירה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עיסא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25.04.23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בשל כל האמור גם נקבע כי במסגרת שיקולי הענישה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יש לתת משקל רב לאינטרס הציבורי ולשיקולי ההרתעה על פני נסיבותיו של הנאשם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hyperlink r:id="rId1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2251/211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לאחרונה גם נכנס לתוקף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במסגרתו בחר המחוקק לעגן את הצורך בהחמרת הענישה בחקיקה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בדרך של קביעת עונש מינימום של רבע מהעונש המרבי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13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כך היה עובר לשמחת תורה תשפ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וכך על אחת כמה וכמה לאחר יום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ביקש לראות בעובדה שהעבירה נעשתה בשטחי האזור כנסיבה לקולא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היא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תוצאות השימוש בכלי נשק המתגלגלים לידיהם של גורמים העוינים את 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ובאזור מתגוררים רבים מאוד כאלה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חווינו בצורה קשה ומטלטלת בשמחת תורה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 נורא זה כשלעצמו מלמד על ההכרח בהחמרת הענישה בעבירות מעין אלו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נוסף על האמור יש לבחון בכל מקרה את הנסיבות הספציפיות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 זה סוג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היקף העסקאות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הצדדים לעסקה ועוד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ולצד זאת הנסיבות האישיות השונות של העבריין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שהן כאמור בעלות משקל מועט בעבירות מעין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 גזר הדין ב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7196-03-21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אגנימאת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גם ב</w:t>
      </w:r>
      <w:hyperlink r:id="rId2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מחוזי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-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-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8"/>
            <w:szCs w:val="28"/>
          </w:rPr>
          <w:t>52782-09-22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עסילה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zCs w:val="28"/>
        </w:rPr>
        <w:t>31.05.23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קרתי חלק מהפסיקה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והמבקש לעיין בסקירה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ימצאה 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בגזר הדין 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עסילה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נידון עניינם של מספר 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כאשר עניינו של נאשם 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שם הוא הדומה ביותר לעניינו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שכן גם הוא הורשע בסחר בשני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כלי נשק אקדח ורובה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 קבעתי מתחם עונש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וגזרתי את דינו בתחתית המתחם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בערעור שהגיש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גזר הדין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4259/23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עסילה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13.12.23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הופחתה תקופת המאסר והועמדה על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זאת יצוין כי חלקו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מקרה חמור קמעא מעניינו של הנאשם 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עסילה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נטל חלק מרכזי בעסקת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אך העביר את כלי הנשק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גם פעל לקבלת האביזרים עליהם הוסכם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הרכיב את כלי הנשק ואף הביא תחמושת לבדיקת תקינותו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האירועים האחרונים יש להעלות את רף הענישה 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נכון אפוא להעמיד את הרף התחתון של העבירות בנסיבותיהן במקרה שבפני על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עניינו של הנאשם שבפני פחות חמור מעניינם של הנאשמים במקרים אותם הגישה המאשימה ובהם הושתו עונשי מאסר של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ב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70373-03-23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עבד אל עאל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15.04.24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70450-03-23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מחסן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15.04.24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 מקרים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נטלו חלק משמעותי בעסקאות כשהם אלו שתיאמו וביצעו אותן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כבמקרה זה שבפני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בדומה יש לציין כי ביום </w:t>
      </w:r>
      <w:r>
        <w:rPr>
          <w:rFonts w:cs="FrankRuehl" w:ascii="FrankRuehl" w:hAnsi="FrankRuehl"/>
          <w:sz w:val="28"/>
          <w:szCs w:val="28"/>
        </w:rPr>
        <w:t>16.05.24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ניתן גזר דין בעניינם של נאשמים אחרים שביצעו עסקאות עם הסוכן עמו נעשו העסקאות גם בהליך זה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70392-03-23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מוחסן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[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]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באותו 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מי שעמד מאחורי 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המקור לנשק וקיבל את התמורה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סחר בשלושה אקדחים והושת עליו עונש מאסר של 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נטל חלק קטן יותר במכירת אקדח אחד כשהוא מתלווה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והושת עליו עונש של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קובע כי מתחם העונש ההולם מקרה זה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בשים לב לחלקו של הנאשם בעסקה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כשלא הוא היה מקור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הוא היה זה שתיאם את העסקה ולא הוא זה שקיבל את התמורה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רק תמורת תיווך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לטיבם של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64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לעונשו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הייתה מחלוקת כי יש לגזור את דינו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להודאתו שחסכה גם את עדות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העובדה כי הנאשם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סבור כי מצבה הבריאותי הנטען של אחות הנאשם והעובדה כי הוא המפרנס היחידי של בני משפחתו מצדיקים חריגה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בשים לב למהות העבירות וחומרתן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והעדפת האינטרס הציבורי על זה האישי של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בניכוי ימי מעצרו לפי רישומי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.2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לבקשת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סיוון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יוני </w:t>
      </w:r>
      <w:r>
        <w:rPr>
          <w:rFonts w:cs="FrankRuehl" w:ascii="FrankRuehl" w:hAnsi="FrankRuehl"/>
          <w:sz w:val="28"/>
          <w:szCs w:val="28"/>
        </w:rPr>
        <w:t>2024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69933-03-23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ומעה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7567095" TargetMode="External"/><Relationship Id="rId12" Type="http://schemas.openxmlformats.org/officeDocument/2006/relationships/hyperlink" Target="http://www.nevo.co.il/case/27708542" TargetMode="External"/><Relationship Id="rId13" Type="http://schemas.openxmlformats.org/officeDocument/2006/relationships/hyperlink" Target="http://www.nevo.co.il/case/27665277" TargetMode="External"/><Relationship Id="rId14" Type="http://schemas.openxmlformats.org/officeDocument/2006/relationships/hyperlink" Target="http://www.nevo.co.il/case/29564821" TargetMode="External"/><Relationship Id="rId15" Type="http://schemas.openxmlformats.org/officeDocument/2006/relationships/hyperlink" Target="http://www.nevo.co.il/case/27915710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7567095" TargetMode="External"/><Relationship Id="rId18" Type="http://schemas.openxmlformats.org/officeDocument/2006/relationships/hyperlink" Target="http://www.nevo.co.il/case/27513376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7445046" TargetMode="External"/><Relationship Id="rId21" Type="http://schemas.openxmlformats.org/officeDocument/2006/relationships/hyperlink" Target="http://www.nevo.co.il/case/29816442" TargetMode="External"/><Relationship Id="rId22" Type="http://schemas.openxmlformats.org/officeDocument/2006/relationships/hyperlink" Target="http://www.nevo.co.il/case/29722917" TargetMode="External"/><Relationship Id="rId23" Type="http://schemas.openxmlformats.org/officeDocument/2006/relationships/hyperlink" Target="http://www.nevo.co.il/case/29587387" TargetMode="External"/><Relationship Id="rId24" Type="http://schemas.openxmlformats.org/officeDocument/2006/relationships/hyperlink" Target="http://www.nevo.co.il/case/29587426" TargetMode="External"/><Relationship Id="rId25" Type="http://schemas.openxmlformats.org/officeDocument/2006/relationships/hyperlink" Target="http://www.nevo.co.il/case/29587388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2024-07-08T14:18:00Z</dcterms:created>
  <dc:creator> </dc:creator>
  <dc:description/>
  <cp:keywords/>
  <dc:language>en-IL</dc:language>
  <cp:lastModifiedBy>orly</cp:lastModifiedBy>
  <dcterms:modified xsi:type="dcterms:W3CDTF">2024-07-08T14:18:00Z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ג'ומעה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27567095:2;27708542;27665277;29564821;27915710;25824863;27513376;27445046;29816442;29722917;29587387;29587426;29587388</vt:lpwstr>
  </property>
  <property fmtid="{D5CDD505-2E9C-101B-9397-08002B2CF9AE}" pid="9" name="CITY">
    <vt:lpwstr>י-ם</vt:lpwstr>
  </property>
  <property fmtid="{D5CDD505-2E9C-101B-9397-08002B2CF9AE}" pid="10" name="DATE">
    <vt:lpwstr>20240630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70301/144.b2;025</vt:lpwstr>
  </property>
  <property fmtid="{D5CDD505-2E9C-101B-9397-08002B2CF9AE}" pid="15" name="LAWYER">
    <vt:lpwstr>עיסא מוחמדיה;שי עציון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>69933</vt:lpwstr>
  </property>
  <property fmtid="{D5CDD505-2E9C-101B-9397-08002B2CF9AE}" pid="23" name="NEWPARTB">
    <vt:lpwstr>03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20240709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390120240630</vt:lpwstr>
  </property>
  <property fmtid="{D5CDD505-2E9C-101B-9397-08002B2CF9AE}" pid="69" name="TYPE_N_DATE">
    <vt:lpwstr>39020240630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