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David" w:ascii="David" w:hAnsi="David"/>
                <w:b/>
                <w:bCs/>
                <w:color w:val="000080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69945-03-23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מנגדזה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דצמבר </w:t>
            </w:r>
            <w:r>
              <w:rPr>
                <w:rFonts w:cs="David" w:ascii="David" w:hAnsi="David"/>
                <w:b/>
                <w:bCs/>
              </w:rPr>
              <w:t>2023</w:t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6" w:type="dxa"/>
        <w:jc w:val="start"/>
        <w:tblInd w:w="108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8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1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  <w:tr>
        <w:trPr>
          <w:trHeight w:val="724" w:hRule="atLeast"/>
          <w:cantSplit w:val="true"/>
        </w:trPr>
        <w:tc>
          <w:tcPr>
            <w:tcW w:w="244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צחי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הבדלי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366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גיאורגי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מנגדזה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אלעד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רט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/>
      </w:pPr>
      <w:bookmarkStart w:id="11" w:name="PsakDin"/>
      <w:bookmarkEnd w:id="11"/>
      <w:r>
        <w:rPr>
          <w:rtl w:val="true"/>
        </w:rPr>
        <w:tab/>
      </w: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18.3.23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ארט</w:t>
      </w:r>
      <w:r>
        <w:rPr>
          <w:rtl w:val="true"/>
        </w:rPr>
        <w:t xml:space="preserve">"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tl w:val="true"/>
        </w:rPr>
        <w:t xml:space="preserve">, </w:t>
      </w:r>
      <w:r>
        <w:rPr>
          <w:rtl w:val="true"/>
        </w:rPr>
        <w:t>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 xml:space="preserve">".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הפוטנציאלי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>)].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8.9.2022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28.7.2022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24.2.2021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13.3.2022</w:t>
      </w:r>
      <w:r>
        <w:rPr>
          <w:rtl w:val="true"/>
        </w:rPr>
        <w:t>)].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הכיוון</w:t>
      </w:r>
      <w:r>
        <w:rPr>
          <w:rtl w:val="true"/>
        </w:rPr>
        <w:t xml:space="preserve">"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אסביר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כספונטנית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הביטחון</w:t>
      </w:r>
      <w:r>
        <w:rPr>
          <w:rtl w:val="true"/>
        </w:rPr>
        <w:t xml:space="preserve">" </w:t>
      </w:r>
      <w:r>
        <w:rPr>
          <w:rtl w:val="true"/>
        </w:rPr>
        <w:t>שהשרה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היצרים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שליפתו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כהסגת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18.3.23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1.4.24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David" w:hAnsi="David" w:cs="David"/>
        </w:rPr>
      </w:pPr>
      <w:bookmarkStart w:id="15" w:name="Nitan"/>
      <w:r>
        <w:rPr>
          <w:rFonts w:ascii="David" w:hAnsi="David"/>
          <w:b/>
          <w:b/>
          <w:bCs/>
          <w:rtl w:val="true"/>
        </w:rPr>
        <w:t>ניתן והודע היום 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טבת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13/12/2023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5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077" w:right="1077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69945-03-23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גיאורגי מזה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7309272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8697227" TargetMode="External"/><Relationship Id="rId15" Type="http://schemas.openxmlformats.org/officeDocument/2006/relationships/hyperlink" Target="http://www.nevo.co.il/case/26905927" TargetMode="External"/><Relationship Id="rId16" Type="http://schemas.openxmlformats.org/officeDocument/2006/relationships/hyperlink" Target="http://www.nevo.co.il/case/28200855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2024-08-26T14:32:00Z</dcterms:created>
  <dc:creator> </dc:creator>
  <dc:description/>
  <cp:keywords/>
  <dc:language>en-IL</dc:language>
  <cp:lastModifiedBy>h1</cp:lastModifiedBy>
  <dcterms:modified xsi:type="dcterms:W3CDTF">2024-08-26T14:32:00Z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גיאורגי מזה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27309272;28883087;28697227;26905927;28200855</vt:lpwstr>
  </property>
  <property fmtid="{D5CDD505-2E9C-101B-9397-08002B2CF9AE}" pid="9" name="CITY">
    <vt:lpwstr>ת"א</vt:lpwstr>
  </property>
  <property fmtid="{D5CDD505-2E9C-101B-9397-08002B2CF9AE}" pid="10" name="DATE">
    <vt:lpwstr>20231213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70301/144.b;192;144.g</vt:lpwstr>
  </property>
  <property fmtid="{D5CDD505-2E9C-101B-9397-08002B2CF9AE}" pid="15" name="LAWYER">
    <vt:lpwstr>צחי הבדלי;אלעד רט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69945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390020231213</vt:lpwstr>
  </property>
  <property fmtid="{D5CDD505-2E9C-101B-9397-08002B2CF9AE}" pid="34" name="TYPE_N_DATE">
    <vt:lpwstr>39020231213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