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ספטמבר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2021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69980-11-20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בדר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860854/2020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–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הדס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עמר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נשאת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בן חוסיין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בדר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גיהאד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בן אסמאעיל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אבו בדר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בענינו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עאבד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גזר דין לנאשם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  <w:t>1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כתב האישום והשתלשלות הדיון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שלפני נותן את הדין בגין עבירה של </w:t>
      </w:r>
      <w:r>
        <w:rPr>
          <w:rFonts w:ascii="Calibri" w:hAnsi="Calibri" w:cs="Calibri"/>
          <w:rtl w:val="true"/>
        </w:rPr>
        <w:t>החזקת נשק שלא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בניגוד </w:t>
      </w:r>
      <w:hyperlink r:id="rId7">
        <w:r>
          <w:rPr>
            <w:rStyle w:val="Hyperlink"/>
            <w:rFonts w:ascii="Calibri" w:hAnsi="Calibri" w:cs="Calibri"/>
            <w:rtl w:val="true"/>
          </w:rPr>
          <w:t>לסעיף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רישא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לעובדות כתב האישום המתוקן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תיקון טכני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דרך של הוספת עדי תביעה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החל ממועד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18.11.20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החזיקו הנאשמים בתת מקלע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יורה ובכוחו להמית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הנשק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18.11.20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14:15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בשכונה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ביישוב לקיה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והחזיק בידיו את הנשק עטוף ניילון נצמד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באותה העת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שוטרים אשר עברו באיזור הבחינו בנאשם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חשדו שהוא מחזיק בנשק וניגשו אליו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השליך את הנשק מידיו אל הקרקע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בחרו להודות בכתב האישום כפי שהוא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והורשעו על סמך הודאתם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לבקשת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הופנו לשירות המבחן למבוגרים לקבלת תסקיר לענין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לאור אי השלמת הליך הערכת שירות המבחן בנוגע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נשמעה פרשת העונש בענינו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ומכאן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גזר דין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הגישה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גיליון רישום פלילי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לחובת הנאשם הרשעה קודמת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גניבה בידי עובד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נגזרו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ופיצוי בסך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למתלונן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לא הגישה ראיות לענין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הערכת שירות המבחן למבוגרים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בענינו של הנאשם הוגש תסקיר המפרט את 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 לשלושה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בישוב לקיה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עבד בתחום הבנין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תקופה קצרה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עבד בתפקיד מחסנאי בסופרמרקט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 לאחראי עליו לגנוב מהסופר ולמכור את הסחורה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שהאחראי איים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אם לא יסייע לו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יפוטר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לעבירה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 במיוחס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הוא שהחזיק באופן קבוע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נטל אותו מבן דודו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כדי למסור הנשק לאביו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שירתיע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 על ידי המשטרה כאשר נטל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כבר כעת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לטענה זו של הנאשם אין תימוכין בראיות והיא חורגת מהמסכת העובדתית הנקובה בכתב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שלל מעורבות שולית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שימוש בחומרים פסיכודליים או מעורבות בהימורים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מעגלי תמיכה משפחתיים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מביע עמדה קרבנית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ממזערת ומטשטשת את חלקו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שנוטה להשליך האחריות 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בן דודו הצעיר ממנו בפער גיל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אף מטשטש את המידע באשר ליחסיו עם הלה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חווה ניתוק ממשפחתו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היוותה בעבורו אלמנט הרתעתי ומציב גבולות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בשקלול הגורמים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שירות המבחן למבוגרים על ענישה מוחשית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בדמות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לתקופה קצרה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הגישה טיעוניה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והשלימה אותן על 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התביעה הפנתה לערכים המוגנים שנפגעו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הגנה על שלום הציבור ובטחונו ושמירה על גופו וחייו של אדם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הדגישה את פוטנציאל הסיכון מהחזקת 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עלול למצוא דרכו לפעילות עבריינית או בטחונית שלילית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ביקשה לייחס משקל לעברו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ריצה עונש מאסר במהלך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עבירה אחרת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עבירות הנשק הפכו למכת מדינה וביקשה להטיל ענישה שתרתיע את היחיד והרבים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התביעה עתרה למתחם ענישה הנע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מרתיע וקנס משמעותי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ביקשה שעונש המאסר יוטל במצטבר לכל עונש אחר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ביקשה למקם עונשו של הנאשם בשליש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ברף התחתון ממש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מתחם העונש אליו עותרת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מידתי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אדם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בא ממשפחה נורמטיבית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ביקשה לייחס משקל לנסיבותיו האישיות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באירוע נקודתי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לא היה למשטרה מידע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ומדובר בהחזקה למספר דקות 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ביקשה לייחס משקל לתקופת 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כשבעה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לא ראה את בני 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עתרה למתחם ענישה אותו קבע בית המשפט בעבר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בדברו האחרון של הנאשם</w:t>
      </w:r>
      <w:r>
        <w:rPr>
          <w:rFonts w:ascii="Arial" w:hAnsi="Arial" w:cs="Arial"/>
          <w:rtl w:val="true"/>
        </w:rPr>
        <w:t xml:space="preserve">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מצטער על מעשיו ולוקח אחריות 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רוצה לשוב הביתה למשפחתו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ומקווה שלא יחזור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צורך להכביר מילים על פוטנציאל הסיכון הנובע מהחזקת נשק חם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כלי הנשק עלול למצוא דרכו לפעילות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פלילית ואם נגד בטחון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החזקת נשק על ידי מי שלא נבדק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נמצא מתאים ולא הוכשר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בתנאים שאינם מבטיחים בידודו של הנשק מהסביבה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שמחזיק נשק ברישיון נדרש לאפסנו בכספת מאובטחת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שני מנעולים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עלולה להביא לסיכון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אין ראיות שהוחזק לצורך 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</w:rPr>
      </w:pPr>
      <w:r>
        <w:rPr>
          <w:rFonts w:cs="Times New Roman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כאמור עלולה להביא לפגיעה בשלטון החוק ובנושאי 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המבצעים את תפקידם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בפסק הדין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3288/14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קריספל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בשל פוטנציאל ההרס הטמון בכלי נשק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הכולל גם אפשרות לפגיעה עיוורת באנשים מן הישוב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מתפקידו של בית המשפט להרתיע אף מפני עבירת החזקת נשק שלא כדין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זאת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כדי לבלום את שרשרת העבירות בשלב ראשוני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בפסק הדין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Aharoni" w:ascii="Aharoni" w:hAnsi="Aharoni"/>
          <w:rtl w:val="true"/>
        </w:rPr>
        <w:t xml:space="preserve">... </w:t>
      </w:r>
      <w:r>
        <w:rPr>
          <w:rFonts w:ascii="Aharoni" w:hAnsi="Aharoni" w:cs="Aharoni"/>
          <w:rtl w:val="true"/>
        </w:rPr>
        <w:t>התגלגלותם של כלי נשק מיד ליד ללא פיקוח עלולה להוביל להגעתם בדרך לא דרך לגורמים פליליים ועוינים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אין לדעת מה יעלה בגורלם של  ולאלו תוצאות הרסניות יובילו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ודוק</w:t>
      </w:r>
      <w:r>
        <w:rPr>
          <w:rFonts w:cs="Aharoni" w:ascii="Aharoni" w:hAnsi="Aharoni"/>
          <w:rtl w:val="true"/>
        </w:rPr>
        <w:t xml:space="preserve">: </w:t>
      </w:r>
      <w:r>
        <w:rPr>
          <w:rFonts w:ascii="Aharoni" w:hAnsi="Aharoni" w:cs="Aharoni"/>
          <w:rtl w:val="true"/>
        </w:rPr>
        <w:t>הסיכון שנשקף לשלום הציבור צריך להילקח בחשבון על ידי כל מי שמחזיק בידו נשק שלא כדין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גם אם אינו מחזיק בו למטרת ביצוען של עבירות אחרות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באשר המחזיק בו נתון תמיד לחשש שיתפתה לעשות בו שימוש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ולו ברגעי לחץ ופחד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בשורה של פסקי דין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חומרת הסיכון הנשקף מעבירות אלה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מחייבת השתת עונשי מאסר בפועל בגין עבירות אלה וזאת גם כאשר המדובר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לכאורה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במי שמנהל אורח חיים נורמטיבי ואין לחובתו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דאחל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בבוא בית המשפט לשקול את הענישה בעבירות מסוג זה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על פני הנסיבות האישיות של העבריין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עוד ראו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5220/09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עוואודה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Aharoni" w:hAnsi="Aharoni" w:cs="Aharoni"/>
          <w:rtl w:val="true"/>
        </w:rPr>
        <w:t xml:space="preserve">אשר על כן משכבר נקבע הכלל לפיו </w:t>
      </w:r>
      <w:r>
        <w:rPr>
          <w:rFonts w:ascii="Aharoni" w:hAnsi="Aharoni" w:cs="Aharoni"/>
          <w:u w:val="single"/>
          <w:rtl w:val="true"/>
        </w:rPr>
        <w:t>ככלל יש לאסור את המבצעים עבירה זו</w:t>
      </w:r>
      <w:r>
        <w:rPr>
          <w:rFonts w:cs="Aharoni" w:ascii="Aharoni" w:hAnsi="Aharoni"/>
          <w:u w:val="single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גם אם מדובר בעבירה ראשונה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מאחורי סורג ובריח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ואילו אורך התקופה כלול בנסיבות הספציפיות של העושה והמעשה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/>
        </w:rPr>
      </w:pPr>
      <w:r>
        <w:rPr>
          <w:rFonts w:cs="Aharoni" w:ascii="David" w:hAnsi="David"/>
          <w:rtl w:val="true"/>
        </w:rPr>
        <w:t>[</w:t>
      </w:r>
      <w:r>
        <w:rPr>
          <w:rFonts w:ascii="David" w:hAnsi="David" w:cs="Aharoni"/>
          <w:rtl w:val="true"/>
        </w:rPr>
        <w:t>ההדגשה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אינה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במקור</w:t>
      </w:r>
      <w:r>
        <w:rPr>
          <w:rFonts w:cs="Aharoni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מתחם ענישה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לצורך סקירת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תובא להלן פסיקה רלוונטית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בגזר דין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32560-12-16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אלסאריעה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נדון נאשם בגין עבירה של נסיון להחזקת אקדח מסוג ברטה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העבירה תוקנה לנסיון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בשל כך </w:t>
      </w:r>
      <w:r>
        <w:rPr>
          <w:rFonts w:ascii="David" w:hAnsi="David"/>
          <w:u w:val="single"/>
          <w:rtl w:val="true"/>
        </w:rPr>
        <w:t>שהנשק לא היה תקין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כשכלי הנשק הוחזקו בביתו של הנאשם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לעונש מאסר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מתחם כולל שנע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בשבתו כבית משפט לערעורים פליליים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דחה בית המשפט המחוזי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הרכב אב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ד כב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הנשיאה ר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יפה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ascii="David" w:hAnsi="David"/>
          <w:u w:val="single"/>
          <w:rtl w:val="true"/>
        </w:rPr>
        <w:t>כץ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ערעור ההגנה על חומרת העונש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תוך שמצא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כי חרף העדר אינדיקציה על שימוש פלילי או אחר המתוכן בנשק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ועל אף נסיבותיו האישיות של המערער שם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צעיר ללא עבר פלילי</w:t>
      </w:r>
      <w:r>
        <w:rPr>
          <w:rFonts w:cs="David" w:ascii="David" w:hAnsi="David"/>
          <w:u w:val="single"/>
          <w:rtl w:val="true"/>
        </w:rPr>
        <w:t xml:space="preserve">) – </w:t>
      </w:r>
      <w:r>
        <w:rPr>
          <w:rFonts w:ascii="David" w:hAnsi="David"/>
          <w:u w:val="single"/>
          <w:rtl w:val="true"/>
        </w:rPr>
        <w:t>הרי הנסיבות האישיות ואינטרס השיקום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נדחים מפני האינטרס הציבורי של מיגור עבירות מסוג זה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בפסק דין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העמיד 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על החזקת רובה סער בודד על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כשאחת מחברי ההרכב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בדעת מיעוט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הציעה להעמידו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באותו מקרה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32503-04-19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אלקורעאן נ</w:t>
      </w:r>
      <w:r>
        <w:rPr>
          <w:rFonts w:cs="David" w:ascii="David" w:hAnsi="David"/>
          <w:b/>
          <w:bCs/>
          <w:rtl w:val="true"/>
        </w:rPr>
        <w:t xml:space="preserve">' 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 הדין מיום </w:t>
      </w:r>
      <w:r>
        <w:rPr>
          <w:rFonts w:cs="David" w:ascii="David" w:hAnsi="David"/>
        </w:rPr>
        <w:t>12.06.19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היו נתונים לחומרה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המדובר היה בכלי נשק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 תקני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שנעשה בו שימוש פלילי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ולנאשם שם גם היה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לא מכביד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אך גם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משפט השלום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ענישה זהה ולא היה שינוי במתחם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בפסק דין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שניתן בתקופה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 ההגנה על עונש בפועל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בתוספת מאסר מותנה וקנס בסך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שהושתו על צעיר שהחזיק כלי נשק מסוג תת מקלע מאולתר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אותו מערער החזיק בנשק למשך עשרה ימים בלבד ואף 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החזיקו בעבור 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בראשות הנשיאה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יפה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בית המשפט קמא ציין ובצדק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את החומרה הרבה שיש לראות בעבירות הקשורות בנשק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ואף בצדק ציין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כי בית המשפט מצווה להחמיר את הענישה בעבירות כגון אלה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כדי להגן על הציבור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כך צדק גם בית המשפט בעת שקבע מתחם עונש כפי שקבע</w:t>
      </w:r>
      <w:r>
        <w:rPr>
          <w:rFonts w:cs="Aharoni" w:ascii="Aharoni" w:hAnsi="Aharoni"/>
          <w:rtl w:val="true"/>
        </w:rPr>
        <w:t>...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בית משפט קמה הדגיש את העובדה כי העבירה של החזקת נשק הפכה למכה של  אזור הדרום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ואף צדק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כאשר קבע שלא ניתן להתעלם מנסיבה זו בעת קביעת העונש הראוי למערער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ראו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4673-08-19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מוסא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 – 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פרשת אבו מוסא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ראו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לעניין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גזרי דין שניתנו לאחרונה</w:t>
      </w:r>
      <w:r>
        <w:rPr>
          <w:rFonts w:cs="David" w:ascii="David" w:hAnsi="David"/>
          <w:rtl w:val="true"/>
        </w:rPr>
        <w:t xml:space="preserve">: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30406-04-16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עאמר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65912-01-18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מדעם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גזרי הדין פורסמו במאגרים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בגזר הדין האחרון – נדון אחד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בהחזקת אקדח חצי אוטמטי בלבד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לעונש מאסר בפועל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בערעור לבית המשפט המחוזי – הועמד העונש על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השני – שנתפס מחזיק רובה סער ושני אקדחים חצי אוטומטיים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כשכולם אינם תקינים – נידון לעונש מאסר בפועל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כשערכאת הערעור לא מצאה להתערב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23083-03-19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מדע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ם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rtl w:val="true"/>
        </w:rPr>
        <w:t xml:space="preserve">פורסם במאגרים – </w:t>
      </w:r>
      <w:r>
        <w:rPr>
          <w:rFonts w:cs="David" w:ascii="David" w:hAnsi="David"/>
        </w:rPr>
        <w:t>17.07.19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נאשם ללא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ניהל חיים אזרחיים עמלניים כבעלים של מספר עסקים בישוב חורה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לעונש מאסר בפועל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בגין החזקת אקדח חצי אוטומטי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במתחם שנקבע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כשהסיבה לקביעת המתחם שם היתה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ממש כמו במקרה שלפנינו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כי הנשק הוחזק בליווית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19417-11-16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אבו אלקיעאן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פורסם במאגרים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דובר על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ללא הרשעות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ואף ללא רישומים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קודמים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שירות צבאי ארוך בסדיר ובקבע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מוכר כדמות ציבורית במגזר אליו משתייך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עוד ראו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52091-02-20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 אעסם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קליעי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במשורה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21819-06-21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עובייד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מפורק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מחייבת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מרתיע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לפני מספר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פורסמה הנחיית פרקליט המדינה מס</w:t>
      </w:r>
      <w:r>
        <w:rPr>
          <w:rFonts w:cs="David" w:ascii="David" w:hAnsi="David"/>
          <w:rtl w:val="true"/>
        </w:rPr>
        <w:t xml:space="preserve">' 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מיום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אב 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07/08/16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בנוגע למדיניות הענישה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הונחתה התביעה הכללית לפעול לכיוון החמרת הענישה בעבירות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הסיכון הרב הנשקף מהן והאינטרס הציבורי במיגורן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התביעה הכללית הונחתה לדרוש מאסר בפועל לתקופה ממשית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המדובר בעבירה 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מבחינת מדרג החומרה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הוצבה החזקה של רובה סער או תת מקלע – </w:t>
      </w:r>
      <w:r>
        <w:rPr>
          <w:rFonts w:ascii="David" w:hAnsi="David"/>
          <w:u w:val="single"/>
          <w:rtl w:val="true"/>
        </w:rPr>
        <w:t>ברמה אחת לפני הרמה החמורה ביותר</w:t>
      </w:r>
      <w:r>
        <w:rPr>
          <w:rFonts w:ascii="David" w:hAnsi="David"/>
          <w:rtl w:val="true"/>
        </w:rPr>
        <w:t xml:space="preserve"> ואילו אחזקת נשק קצר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אקדח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ברמה נמוכה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לנוכח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שפורטה באותה הנחיה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הונחתה התביעה הכללית לטעון למתחם שינוע בין שנתיים עד ארבע שנות מאסר בפועל בגין כל עבירה בודדת של החזקת רובה או תת מקלע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בין שנה לשלוש שנים בגין אחזקת נשק קצר מסוג אקדח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ממש בגין אחזקת 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הצורך בהחמרת הענישה נומק במספר הרב של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פליליות ואם כאלה נגד בטחון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שנעברו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הביאו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לעיתים מזומנות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לפגיעה באזרחים בלתי מעורבים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המחשה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המפורט בנתונים שהובאו במסגרת ההנחיה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אירעו בישראל </w:t>
      </w:r>
      <w:r>
        <w:rPr>
          <w:rFonts w:cs="David" w:ascii="David" w:hAnsi="David"/>
        </w:rPr>
        <w:t>563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אירועים של פיגועים </w:t>
      </w:r>
      <w:r>
        <w:rPr>
          <w:rFonts w:ascii="David" w:hAnsi="David"/>
          <w:u w:val="single"/>
          <w:rtl w:val="true"/>
        </w:rPr>
        <w:t>פליליים</w:t>
      </w:r>
      <w:r>
        <w:rPr>
          <w:rFonts w:ascii="David" w:hAnsi="David"/>
          <w:rtl w:val="true"/>
        </w:rPr>
        <w:t xml:space="preserve"> באמצעות 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לקחת בחשבון פיגועים על רקע בטחוני או עבירות שנאה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ריבוי כתבי האישום בגין עבירות אלה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מאשש טענת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העבירה הנדונה הפכה ל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מכת מדינה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 מהגורמים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הנגישות הרבה לכלי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נפיצות כלי הנשק יוצרת סכנה של ממש לבטחון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האמרה הידועה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הנשק שהופיע במערכה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חוזר להופיע במערכות שלאחר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 בהצצה חטופה בכל מהדורת חדשות כמעט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להתרשם מהנזקים הקשים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נגרמים מכלי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המוחזקים על ידי מי שאינו מורשה לכך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הסיכון גובר כאשר המדובר בכלי נשק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כלי מאולתר – הוא כלי נשק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שבכוחו להמית ובשנים האחרונות אירעו אינספור פיגועים פליליים ואף בטחוניים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גרמו למותם של בני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כלי נשק מסוג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הדברים הגיעו עד כדי כך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שבעת</w:t>
      </w:r>
      <w:r>
        <w:rPr>
          <w:rFonts w:ascii="David" w:hAnsi="David"/>
          <w:u w:val="single"/>
          <w:rtl w:val="true"/>
        </w:rPr>
        <w:t xml:space="preserve"> האחרונה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עדים אנו</w:t>
      </w:r>
      <w:r>
        <w:rPr>
          <w:rFonts w:ascii="David" w:hAnsi="David"/>
          <w:u w:val="single"/>
          <w:rtl w:val="true"/>
        </w:rPr>
        <w:t xml:space="preserve"> לקיפוד חייהם של אזרחים כתוצאה מסכסוכים בהם נערך שימוש בנשק חם – </w:t>
      </w:r>
      <w:r>
        <w:rPr>
          <w:rFonts w:ascii="David" w:hAnsi="David"/>
          <w:u w:val="single"/>
          <w:rtl w:val="true"/>
        </w:rPr>
        <w:t xml:space="preserve">ממש </w:t>
      </w:r>
      <w:r>
        <w:rPr>
          <w:rFonts w:ascii="David" w:hAnsi="David"/>
          <w:u w:val="single"/>
          <w:rtl w:val="true"/>
        </w:rPr>
        <w:t>מדי יום ביומו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התפתחות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מחייבת החמרה נוספת במסגרת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לנוכח התפשטות הפעילות העברינית הכוללת שימוש בנשק חם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לקבוע החמרה מסוימת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הדרגתי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במתחמים שנקבעו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כשהמתחם בגין אחזקת נשק חם אוטומטי מסוג רובה סער או תת מקלע – יועמד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קביעת הענישה הספציפית בתוך המתחם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לנאשם הרשעה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ריצה עונש מאסר בזמן מעצרו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אינה מאותה מאטריה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אינו מוצא מקום לאמץ המלצת שירות המבחן למבוגרים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להסתפק </w:t>
      </w:r>
      <w:r>
        <w:rPr>
          <w:rFonts w:ascii="David" w:hAnsi="David"/>
          <w:rtl w:val="true"/>
        </w:rPr>
        <w:t>בעונש מאסר קצר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rtl w:val="true"/>
        </w:rPr>
        <w:t>המלצ</w:t>
      </w:r>
      <w:r>
        <w:rPr>
          <w:rFonts w:ascii="David" w:hAnsi="David"/>
          <w:rtl w:val="true"/>
        </w:rPr>
        <w:t>ה זו חורגת באופן קיצוני ממתחם הענישה הראוי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כבר 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שיקום איננו מילת קסם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המצדיקה חריגה מהמתחם בכל מקרה שהוא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ענישה בהתאם ל</w:t>
      </w:r>
      <w:r>
        <w:rPr>
          <w:rFonts w:ascii="David" w:hAnsi="David"/>
          <w:rtl w:val="true"/>
        </w:rPr>
        <w:t>המלצת</w:t>
      </w:r>
      <w:r>
        <w:rPr>
          <w:rFonts w:ascii="David" w:hAnsi="David"/>
          <w:rtl w:val="true"/>
        </w:rPr>
        <w:t xml:space="preserve"> שירות המבחן למבוגרים – לא יהיה בה כדי לשקף כלל את 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קיבל הבכורה במסגרת שיקולי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לדבר על הרתעת היחיד – הנאשם – והרתעת הרבים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יתרה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למבוגרים 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ממזער את חלקו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משליך מלוא האחריות 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מטשטש מעורבותו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טענות ההגנה בדבר משך החזקת הנשק או מטרת החזקתו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לא בוססו בראיות והן חורגות מהמסכת העובדתית הנקובה בכתב האישום המתוקן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לזכות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ייקח בחשבון את גילו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מצבו המשפחת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הודאתו באשמה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נטילת אחריות מצידו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rtl w:val="true"/>
        </w:rPr>
        <w:t>מכלול הנתונים מצביע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לכיוון ענישה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התחתון של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ברף התחתון ממש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יושת על הנאשם עונש צופה פני 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לבל יהין להחזיק שוב בכלי נשק כלשהו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חם או קר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יושת על הנאשם עיצום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המדובר בכלי נשק בעל שווי </w:t>
      </w:r>
      <w:r>
        <w:rPr>
          <w:rFonts w:ascii="David" w:hAnsi="David"/>
          <w:rtl w:val="true"/>
        </w:rPr>
        <w:t>כספי לא מבוטל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שבית המשפט עיין בטיעוני התביעה בכתב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שמע טיעוני הצדדים על פה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עיין בראיות לעונש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עיין בתסקיר שירות המבחן למבוגרים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ולאחר ששמע דברו האחרון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גוזר בית המשפט על הנאשם את העונשים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 בהתאם לרישומי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 xml:space="preserve"> בתיק זה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ולמען הסר   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במצטבר לכל עונש מאסר אחר אותו ריצה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מסוג פשע בניגוד </w:t>
      </w:r>
      <w:hyperlink r:id="rId22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מסוג עוון בניגוד </w:t>
      </w:r>
      <w:hyperlink r:id="rId24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 </w:t>
      </w:r>
      <w:r>
        <w:rPr>
          <w:rFonts w:ascii="David" w:hAnsi="David"/>
          <w:rtl w:val="true"/>
        </w:rPr>
        <w:t xml:space="preserve">או עבירה כלשהי בניגוד </w:t>
      </w:r>
      <w:hyperlink r:id="rId26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186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לאותו חוק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10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75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שיעורים שווים ורצופים החל מיום </w:t>
      </w:r>
      <w:r>
        <w:rPr>
          <w:rFonts w:cs="David" w:ascii="David" w:hAnsi="David"/>
        </w:rPr>
        <w:t>15.</w:t>
      </w:r>
      <w:r>
        <w:rPr>
          <w:rFonts w:cs="David" w:ascii="David" w:hAnsi="David"/>
        </w:rPr>
        <w:t>11</w:t>
      </w:r>
      <w:r>
        <w:rPr>
          <w:rFonts w:cs="David" w:ascii="David" w:hAnsi="David"/>
        </w:rPr>
        <w:t>.21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ובכל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 שלאחר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יועבר אחד התשלומים במועד – תעמוד היתרה לפירעון מידי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נשק </w:t>
      </w:r>
      <w:r>
        <w:rPr>
          <w:rFonts w:ascii="David" w:hAnsi="David"/>
          <w:rtl w:val="true"/>
        </w:rPr>
        <w:t>יושמד</w:t>
      </w:r>
      <w:r>
        <w:rPr>
          <w:rFonts w:ascii="David" w:hAnsi="David"/>
          <w:rtl w:val="true"/>
        </w:rPr>
        <w:t xml:space="preserve"> בחלוף תקופת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</w:r>
      <w:r>
        <w:rPr>
          <w:rFonts w:ascii="Calibri" w:hAnsi="Calibri" w:cs="Calibri"/>
          <w:rtl w:val="true"/>
        </w:rPr>
        <w:t>עותק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למבוגרים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76" w:before="0" w:after="160"/>
        <w:ind w:end="0"/>
        <w:jc w:val="start"/>
        <w:rPr/>
      </w:pPr>
      <w:r>
        <w:rPr>
          <w:rFonts w:cs="Calibri" w:ascii="Calibri" w:hAnsi="Calibri"/>
          <w:color w:val="FFFFFF"/>
          <w:sz w:val="2"/>
          <w:szCs w:val="2"/>
        </w:rPr>
        <w:t>54678313</w:t>
      </w: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Nitan"/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תשרי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haroni">
    <w:charset w:val="00" w:characterSet="windows-125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69980-11-20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נשאת בן חוסיין בדר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19683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a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144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16913730" TargetMode="External"/><Relationship Id="rId10" Type="http://schemas.openxmlformats.org/officeDocument/2006/relationships/hyperlink" Target="http://www.nevo.co.il/case/7791493" TargetMode="External"/><Relationship Id="rId11" Type="http://schemas.openxmlformats.org/officeDocument/2006/relationships/hyperlink" Target="http://www.nevo.co.il/case/5852404" TargetMode="External"/><Relationship Id="rId12" Type="http://schemas.openxmlformats.org/officeDocument/2006/relationships/hyperlink" Target="http://www.nevo.co.il/case/6000182" TargetMode="External"/><Relationship Id="rId13" Type="http://schemas.openxmlformats.org/officeDocument/2006/relationships/hyperlink" Target="http://www.nevo.co.il/case/21778276" TargetMode="External"/><Relationship Id="rId14" Type="http://schemas.openxmlformats.org/officeDocument/2006/relationships/hyperlink" Target="http://www.nevo.co.il/case/25623200" TargetMode="External"/><Relationship Id="rId15" Type="http://schemas.openxmlformats.org/officeDocument/2006/relationships/hyperlink" Target="http://www.nevo.co.il/case/25923515" TargetMode="External"/><Relationship Id="rId16" Type="http://schemas.openxmlformats.org/officeDocument/2006/relationships/hyperlink" Target="http://www.nevo.co.il/case/21303448" TargetMode="External"/><Relationship Id="rId17" Type="http://schemas.openxmlformats.org/officeDocument/2006/relationships/hyperlink" Target="http://www.nevo.co.il/case/23588441" TargetMode="External"/><Relationship Id="rId18" Type="http://schemas.openxmlformats.org/officeDocument/2006/relationships/hyperlink" Target="http://www.nevo.co.il/case/25526059" TargetMode="External"/><Relationship Id="rId19" Type="http://schemas.openxmlformats.org/officeDocument/2006/relationships/hyperlink" Target="http://www.nevo.co.il/case/21567481" TargetMode="External"/><Relationship Id="rId20" Type="http://schemas.openxmlformats.org/officeDocument/2006/relationships/hyperlink" Target="http://www.nevo.co.il/case/26478630" TargetMode="External"/><Relationship Id="rId21" Type="http://schemas.openxmlformats.org/officeDocument/2006/relationships/hyperlink" Target="http://www.nevo.co.il/case/27692468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86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2022-07-26T10:30:00Z</dcterms:created>
  <dc:creator> </dc:creator>
  <dc:description/>
  <cp:keywords/>
  <dc:language>en-IL</dc:language>
  <cp:lastModifiedBy>h1</cp:lastModifiedBy>
  <dcterms:modified xsi:type="dcterms:W3CDTF">2022-07-26T10:30:00Z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נשאת בן חוסיין בדר;גיהאד בן אסמאעיל אבו בדר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27196837;16913730;7791493;5852404;6000182;21778276;25623200;25923515;21303448;23588441;25526059;21567481;26478630;27692468</vt:lpwstr>
  </property>
  <property fmtid="{D5CDD505-2E9C-101B-9397-08002B2CF9AE}" pid="9" name="CITY">
    <vt:lpwstr>ב"ש</vt:lpwstr>
  </property>
  <property fmtid="{D5CDD505-2E9C-101B-9397-08002B2CF9AE}" pid="10" name="DATE">
    <vt:lpwstr>20210930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70301/144a;144:2;186</vt:lpwstr>
  </property>
  <property fmtid="{D5CDD505-2E9C-101B-9397-08002B2CF9AE}" pid="15" name="LAWYER">
    <vt:lpwstr>הדס עמר;סמיר אבו עאבד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69980</vt:lpwstr>
  </property>
  <property fmtid="{D5CDD505-2E9C-101B-9397-08002B2CF9AE}" pid="22" name="NEWPARTB">
    <vt:lpwstr>11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380020210930</vt:lpwstr>
  </property>
  <property fmtid="{D5CDD505-2E9C-101B-9397-08002B2CF9AE}" pid="34" name="TYPE_N_DATE">
    <vt:lpwstr>38020210930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