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70450-03-23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מחסן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אלעזר נחלון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נאצר מחסן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המאשימה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שי עציון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נדב שחם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הנאשם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יוסי זילברברג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/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6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א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8" w:name="ABSTRACT_START"/>
      <w:bookmarkEnd w:id="8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bookmarkStart w:id="9" w:name="ABSTRACT_END"/>
      <w:bookmarkEnd w:id="9"/>
      <w:r>
        <w:rPr>
          <w:rFonts w:cs="Miriam"/>
          <w:color w:val="000000"/>
          <w:rtl w:val="true"/>
        </w:rPr>
        <w:t>ב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הורשע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20.11.23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לחברו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ששימש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שבכוחו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התרחשה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4.9.22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כשבועיים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ברכישת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ארוך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שוחחו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חצי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שבכוחו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63,000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התרחשה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4.11.22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כשבועיים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55,000</w:t>
      </w:r>
      <w:r>
        <w:rPr>
          <w:rFonts w:cs="FrankRuehl"/>
          <w:color w:val="000000"/>
          <w:sz w:val="28"/>
          <w:szCs w:val="28"/>
          <w:rtl w:val="true"/>
        </w:rPr>
        <w:t xml:space="preserve"> ₪,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תיאום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הוציא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שבכוחו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עטוף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55,000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התסקיר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בתמצית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מאורס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בעקבות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אירוסיו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בוטלו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בענתא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כילד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משבעה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נפטר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בילדותו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תעודת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הפלסטינית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באוניברסיטה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בירדן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2019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בשיפוצים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בגדים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וכשזו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נסגרה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לשטיפת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רכב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המשטרתי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בהשגת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בעקבות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לניהול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אורח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בהצבת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גבולות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מנטייה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לריצוי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ומקושי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לטווח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רחוק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מטשטש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השוליים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שתרמו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ניהל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אורח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יציב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מרתיע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בחשבון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זוהי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המטפל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הומלץ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מותנית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כספי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 הצדדים הגישו עי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גדול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מצטבר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118,000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בייחוד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50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תכנון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הבהיר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האחרונה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כלשונו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באזור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בחקירתו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במשטרה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בעקבות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אירוסי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הטיפול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לחופשות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שהאפשרות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תושבי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מוגבלת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לאפשר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להגדיל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שיקומו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מצטער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לפרנסתו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לטפל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ה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דיון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 xml:space="preserve">גזירת הדין </w:t>
      </w:r>
      <w:r>
        <w:rPr>
          <w:rFonts w:cs="FrankRuehl" w:ascii="FrankRuehl" w:hAnsi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קובע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כי בהתאם לעקרון ההלימה יש לקבוע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במדיניות הענישה הנהוגה ובנסיבות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 מהנסיבות הקשורות בביצוע העבירה מנויות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ובכללן מידת התכנון שקדם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חלקו היחסי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הנזק שנגרמה או שהייתה צפויה להיגרם מהעבירה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הנסיבות שהביאו את הנאשם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ניתן לשקול גם נסיבות אחרות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מטיעוני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מחלוקת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ובצדק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קביעת מתחם העונש ההולם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לגזור את העונש המתאים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בנסיבות שאינן קשורות בביצוע העבירה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נסיבות כאלה מפורטות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אולם גם כאן אין מדובר ברשימה סגורה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ראו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כן ניתן להתחשב בצורך להרתיע את הנאשם ולהרתיע את הרבים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ז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 נטען שבמקרה שכאן קיימת הצדקה לחריגה ממתחם העונש ההולם לקולא או לחומרא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לאפשרות זו ראו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ד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וכן </w:t>
      </w:r>
      <w:hyperlink r:id="rId35"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למעשים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מדיניות הענישה הנהוגה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אתייחס לשיקולים אלה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ושלווים</w:t>
      </w:r>
      <w:r>
        <w:rPr>
          <w:rFonts w:cs="FrankRuehl"/>
          <w:color w:val="000000"/>
          <w:sz w:val="28"/>
          <w:szCs w:val="28"/>
          <w:rtl w:val="true"/>
        </w:rPr>
        <w:t>..." (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ביטון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14.2.2021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ביאדסה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</w:t>
      </w:r>
      <w:r>
        <w:rPr>
          <w:rFonts w:cs="FrankRuehl"/>
          <w:color w:val="000000"/>
          <w:sz w:val="28"/>
          <w:szCs w:val="28"/>
        </w:rPr>
        <w:t>5.2022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4103/22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אמון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6.11.2022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7595/19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סגים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22.11.2020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חוליות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השרשרת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העבריינית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Miriam"/>
          <w:color w:val="000000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שסוחר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2880/23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עיסא</w:t>
      </w:r>
      <w:r>
        <w:rPr>
          <w:rFonts w:cs="Miriam" w:ascii="Miriam" w:hAnsi="Miriam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25.4.2023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העבירות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שבכוחו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118,000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תיאום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והיערכות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בעסקאות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שתיאם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התממש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הוצגו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התומכות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בטענתו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הפצרות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ביכולתו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והפסול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6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)-(</w:t>
        </w:r>
        <w:r>
          <w:rPr>
            <w:rStyle w:val="Hyperlink"/>
            <w:rFonts w:cs="FrankRuehl"/>
            <w:color w:val="0000FF"/>
            <w:sz w:val="28"/>
            <w:szCs w:val="28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מיוחדים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יינתן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Style14"/>
        <w:ind w:end="1134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>.</w:t>
      </w:r>
    </w:p>
    <w:p>
      <w:pPr>
        <w:pStyle w:val="Style14"/>
        <w:ind w:end="1134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Style14"/>
        <w:spacing w:before="0" w:after="360"/>
        <w:ind w:end="1134"/>
        <w:jc w:val="both"/>
        <w:rPr/>
      </w:pP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טחאינה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16-15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‏)‏, </w:t>
      </w:r>
      <w:r>
        <w:rPr>
          <w:rtl w:val="true"/>
        </w:rPr>
        <w:t>בהשמטת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מסאלחה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9.8.2022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נבארי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(</w:t>
      </w:r>
      <w:r>
        <w:rPr/>
        <w:t>31.7.2022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חדיד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/>
        <w:t>23.6.2022</w:t>
      </w:r>
      <w:r>
        <w:rPr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מתבטאת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מינימום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תחתונים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השרשרת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העבריינית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מחולל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2165/23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בלאל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4.5.2023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3569/22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הנזכר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ובאסמכתאות שם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6028/21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אטרש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15.05.2022</w:t>
      </w:r>
      <w:r>
        <w:rPr>
          <w:rFonts w:cs="FrankRuehl" w:ascii="FrankRuehl" w:hAnsi="FrankRuehl"/>
          <w:sz w:val="28"/>
          <w:szCs w:val="28"/>
          <w:rtl w:val="true"/>
        </w:rPr>
        <w:t>)‏‏‏‏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ברכישה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בהובלה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ורובים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פיסקאות </w:t>
      </w:r>
      <w:r>
        <w:rPr>
          <w:rFonts w:cs="FrankRuehl" w:ascii="FrankRuehl" w:hAnsi="FrankRuehl"/>
          <w:sz w:val="28"/>
          <w:szCs w:val="28"/>
        </w:rPr>
        <w:t>13-12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ראו גם </w:t>
      </w:r>
      <w:hyperlink r:id="rId5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1397/16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חמאיל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12.9.2016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זיאד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</w:t>
      </w:r>
      <w:r>
        <w:rPr>
          <w:rFonts w:cs="FrankRuehl"/>
          <w:color w:val="000000"/>
          <w:sz w:val="28"/>
          <w:szCs w:val="28"/>
        </w:rPr>
        <w:t>10.2021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לכמותו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המנעד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בסביבתן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...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6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>)‏‏).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הבדלים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ההבדלים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מהבדלי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שאליו הפנתה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במי שנטל חלק מרכזי בעסקת מכירה של רובה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מחסנית תואמת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הרכיב אותו ואף ביצע בעצמו ירי כדי לבדקו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 העסקה מסר נאשם נוסף לסוכן ידית אחיזה לנשק וכן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 תואמים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– צעיר נעדר עבר פלילי –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חזר על הדברים שנאמרו בפרשייה 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לפיהם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 מאסר בפועל לתקופה של שלוש שנים בגין עבירות הקשורות לנשק התקפי נמצא ברף הנמוך של הענישה הראויה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וקבע כי המתחם שנקבע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סוטה באופן משמעותי לקולה מהמתחם הראוי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העונש הועמד על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וגם זאת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 שאין זו מדרכה של ערכאת הערעור למצות את הדין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היה בשתי עסקאות נפרדות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מנגד לא נמכרה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בוצע ירי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והרובים שנמכרו היו דמויי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 w:ascii="FrankRuehl" w:hAnsi="FrankRuehl"/>
          <w:sz w:val="28"/>
          <w:szCs w:val="28"/>
          <w:rtl w:val="true"/>
        </w:rPr>
        <w:footnoteReference w:id="2"/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000000"/>
          <w:sz w:val="28"/>
          <w:szCs w:val="28"/>
          <w:shd w:fill="FFFFFF" w:val="clear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Miriam" w:hAnsi="Miriam" w:cs="Miriam"/>
          <w:rtl w:val="true"/>
        </w:rPr>
        <w:t>פלוני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שגם אליו הפנתה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במי שמכר לסוכן משטרתי נשק מאולתר מסוג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והוטלו עליו חמש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העליון קיבל את מסקנת הערכאה הדיונית שלפיה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הענישה הראוי למקרים כדוגמת זה נע בין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לריצוי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הפחית את תקופת המאסר שנגזרה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 כי עונשיהם של שלושה מעורבים אחרים בעסקאות הנשק הוחמרו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ובית המשפט העליון ציין כי היה מן הראוי לגזור עליהם עונשים הנעים בין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שנות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 ההחמרה הייתה פחותה בשל הכלל בדבר היקף החמרת העונש במסגרת ערעור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מעט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מדובר היה בשני כלי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6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315/20</w:t>
        </w:r>
      </w:hyperlink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iriam" w:hAnsi="Miriam" w:cs="Miriam"/>
          <w:rtl w:val="true"/>
        </w:rPr>
        <w:t>אבו טאה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7.6.2020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מדובר היה במי שמכר לסוכן משטרתי בשתי הזדמנויות שונות תת מקלע מאולתר תמורת סך של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8,500-8,000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₪,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כאשר באחת העסקאות אף בוצע במעמדו ירי של כדור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בעסקה הראשונה היה מעורב גם נאשם נוסף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הערכאה הדיונית קבעה כי מתחם העונש ההולם בעניינו של הנאשם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שהיה מעורב בשתי העסקאות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נע בין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3.5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5.5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וכי המתחם בעניינו של הנאשם הנוסף נע בין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3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5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על הנאשמים נגזרו עונשים של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45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36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חודשי מאסר בפועל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בהתאמה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לצד עונשים נוספים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ערעור הנאשמים נדחה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אם כי צוין ש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נדמה כי מתחם הענישה בעניינם נקבע על הצד הגבוה של מדיניות הענישה הנוהגת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המקרה שכאן חמור יותר מבחינת סוג הנשק שנמכר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כמשתקף גם במחירו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אולם מנגד לא בוצע ירי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</w:t>
      </w:r>
      <w:hyperlink r:id="rId6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971/19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געביס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11.7.2019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בנאשם צעיר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היה מעורב כמתווך בשלוש עסקאות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שבהן נמכרו שני אקדחים ורובה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ציין כי נוכח מעורבותו הפעילה של הנאשם והעובדה שמדובר בשלוש עבירות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נוכח העובדה שבאחת העסקאות נמכר רובה סער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תקרת מתחם העונש ההולם </w:t>
      </w:r>
      <w:r>
        <w:rPr>
          <w:rFonts w:cs="FrankRuehl" w:ascii="FrankRuehl" w:hAnsi="FrankRuehl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 יכולה להיות נמוכה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שכאן מדובר על שתי עסקאות ולא שלוש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ונמכר נשק דמוי רובה סער ולא רובה מקורי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 העסקאות מדובר היה בנשק סער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והנאשם היה המוכר ממש ולא שימש כמתווך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בלבד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בא כוח הנאשם הפנה אל גזרי דין שניתנו לאחרונה בבית משפט זה ב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52789-09-22</w:t>
        </w:r>
      </w:hyperlink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חסן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24.1.2024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באותו מקרה מדובר היה בשלושה נאשמים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אך לענייננו רלוונטי במיוחד גזר הדין שניתן בעניינו של נאשם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2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נאשם זה מכר לסוכן משטרתי בשתי הזדמנויות שונות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ובמעורבות של נאשם נוסף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שני כלי נשק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ריקה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נקבע כי מתחם העונש ההולם נע בין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5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8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שנות מאסר בפועל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ונגזרו על הנאשם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צעיר נעדר עבר פלילי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</w:rPr>
        <w:t>66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חודשים לצד עונשים נוספים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 xml:space="preserve">בהמלצת בית המשפט העליון חזר בו הנאשם מערעורו על גזר הדין 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(</w:t>
      </w:r>
      <w:hyperlink r:id="rId6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shd w:fill="FFFFFF" w:val="clear"/>
          </w:rPr>
          <w:t>1930/24</w:t>
        </w:r>
      </w:hyperlink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המקרה שכאן מעט קל יותר שכן לא נמכרו מחסניות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shd w:fill="FFFFFF" w:val="clear"/>
          <w:rtl w:val="true"/>
        </w:rPr>
        <w:t>אולם מנגד סכום התמורה הכולל היה גבוה יותר</w:t>
      </w:r>
      <w:r>
        <w:rPr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t>.</w:t>
      </w:r>
      <w:r>
        <w:rPr>
          <w:rStyle w:val="FootnoteCharacters"/>
          <w:rStyle w:val="FootnoteReference"/>
          <w:rFonts w:cs="FrankRuehl" w:ascii="FrankRuehl" w:hAnsi="FrankRuehl"/>
          <w:color w:val="000000"/>
          <w:sz w:val="28"/>
          <w:szCs w:val="28"/>
          <w:shd w:fill="FFFFFF" w:val="clear"/>
          <w:rtl w:val="true"/>
        </w:rPr>
        <w:footnoteReference w:id="3"/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הנמשכת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למתחמים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Miriam" w:hAnsi="Miriam" w:cs="Miriam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52789-09-22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ולסכומים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הושמעו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מפורטים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ח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העבירות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ובמשאבי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מחלוקת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בחקירתו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במשטרה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2.4.24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בטיפול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ממושכת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נוקשים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מושפעים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לשהות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למזער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למאפיינים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ומצדיקים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70,000</w:t>
      </w:r>
      <w:r>
        <w:rPr>
          <w:rFonts w:cs="FrankRuehl"/>
          <w:color w:val="000000"/>
          <w:sz w:val="28"/>
          <w:szCs w:val="28"/>
          <w:rtl w:val="true"/>
        </w:rPr>
        <w:t xml:space="preserve"> ₪.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סיכום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הבאים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</w:rPr>
        <w:t>5.5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FF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4"/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70,000</w:t>
      </w:r>
      <w:r>
        <w:rPr>
          <w:rFonts w:cs="FrankRuehl"/>
          <w:color w:val="000000"/>
          <w:sz w:val="28"/>
          <w:szCs w:val="28"/>
          <w:rtl w:val="true"/>
        </w:rPr>
        <w:t xml:space="preserve"> ₪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1.3.25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מועד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לבקשת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התנגדות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יחולט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ששימש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תשומת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הסוהר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להשתלב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אלעזר נחלון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1"/>
      <w:footerReference w:type="default" r:id="rId72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120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נסיבה אחרונה זו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שאותה גם הדגיש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בא כוח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הנאשם בטיעוניו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אינה נטולת משקל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עם זאת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כבר נקבע כי 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אין להפריז במשקל שיש לתת לנתונים כגון סוג האקדח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ולקבוע מעין 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מדרגה עונשית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שמתמקדת אך ורק בנתון זה ובתוצאה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ולא בסיכון שנוצר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העיקר נעוץ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כאמור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בכוחו של הנשק לפגוע באדם – ואף להמיתו –ולשבש את חיי השגרה של החברה</w:t>
      </w:r>
      <w:r>
        <w:rPr>
          <w:rFonts w:cs="FrankRuehl" w:ascii="FrankRuehl" w:hAnsi="FrankRuehl"/>
          <w:sz w:val="24"/>
          <w:szCs w:val="24"/>
          <w:rtl w:val="true"/>
        </w:rPr>
        <w:t>" (</w:t>
      </w:r>
      <w:hyperlink r:id="rId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6383/21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Miriam" w:hAnsi="Miriam" w:cs="Miriam"/>
          <w:rtl w:val="true"/>
        </w:rPr>
        <w:t>קריף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פיסקה </w:t>
      </w:r>
      <w:r>
        <w:rPr>
          <w:rFonts w:cs="FrankRuehl" w:ascii="FrankRuehl" w:hAnsi="FrankRuehl"/>
          <w:sz w:val="24"/>
          <w:szCs w:val="24"/>
        </w:rPr>
        <w:t>4</w:t>
      </w:r>
      <w:r>
        <w:rPr>
          <w:rFonts w:cs="FrankRuehl" w:ascii="FrankRuehl" w:hAnsi="FrankRuehl"/>
          <w:sz w:val="24"/>
          <w:szCs w:val="24"/>
          <w:rtl w:val="true"/>
        </w:rPr>
        <w:t xml:space="preserve"> (</w:t>
      </w:r>
      <w:r>
        <w:rPr>
          <w:rFonts w:cs="FrankRuehl" w:ascii="FrankRuehl" w:hAnsi="FrankRuehl"/>
          <w:sz w:val="24"/>
          <w:szCs w:val="24"/>
        </w:rPr>
        <w:t>13.2.2022</w:t>
      </w:r>
      <w:r>
        <w:rPr>
          <w:rFonts w:cs="FrankRuehl" w:ascii="FrankRuehl" w:hAnsi="FrankRuehl"/>
          <w:sz w:val="24"/>
          <w:szCs w:val="24"/>
          <w:rtl w:val="true"/>
        </w:rPr>
        <w:t>)).</w:t>
      </w:r>
    </w:p>
  </w:footnote>
  <w:footnote w:id="3">
    <w:p>
      <w:pPr>
        <w:pStyle w:val="FootnoteText"/>
        <w:spacing w:before="0" w:after="120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יצוין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כוח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טען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להבדלים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שונים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המקרים</w:t>
      </w:r>
      <w:r>
        <w:rPr>
          <w:rFonts w:cs="FrankRuehl"/>
          <w:color w:val="000000"/>
          <w:sz w:val="24"/>
          <w:szCs w:val="24"/>
          <w:rtl w:val="true"/>
        </w:rPr>
        <w:t>,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שבגינם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לטענתו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קל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יותר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</w:t>
      </w:r>
      <w:r>
        <w:rPr>
          <w:rFonts w:cs="FrankRuehl"/>
          <w:color w:val="000000"/>
          <w:sz w:val="24"/>
          <w:sz w:val="24"/>
          <w:szCs w:val="24"/>
          <w:rtl w:val="true"/>
        </w:rPr>
        <w:t>שם</w:t>
      </w:r>
      <w:r>
        <w:rPr>
          <w:rFonts w:cs="FrankRuehl"/>
          <w:color w:val="000000"/>
          <w:sz w:val="24"/>
          <w:szCs w:val="24"/>
          <w:rtl w:val="true"/>
        </w:rPr>
        <w:t xml:space="preserve">. </w:t>
      </w:r>
      <w:r>
        <w:rPr>
          <w:rFonts w:cs="FrankRuehl"/>
          <w:color w:val="000000"/>
          <w:sz w:val="24"/>
          <w:sz w:val="24"/>
          <w:szCs w:val="24"/>
          <w:rtl w:val="true"/>
        </w:rPr>
        <w:t>אלא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שנראה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בטיעוניו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התייחס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כוח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לעניינו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באותו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מקרה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ולא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לעניינו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2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שהוא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הדומה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יותר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שכאן</w:t>
      </w:r>
      <w:r>
        <w:rPr>
          <w:rFonts w:cs="FrankRuehl"/>
          <w:color w:val="000000"/>
          <w:sz w:val="24"/>
          <w:szCs w:val="24"/>
          <w:rtl w:val="true"/>
        </w:rPr>
        <w:t xml:space="preserve">. </w:t>
      </w:r>
      <w:r>
        <w:rPr>
          <w:rFonts w:cs="FrankRuehl"/>
          <w:color w:val="000000"/>
          <w:sz w:val="24"/>
          <w:sz w:val="24"/>
          <w:szCs w:val="24"/>
          <w:rtl w:val="true"/>
        </w:rPr>
        <w:t>כמו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נטען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שבמקרה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נמכרה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תחמושת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ולא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הייתה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קבלת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אחריות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אולם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עיון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בגזר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הדין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מלמד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הוא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והדמיון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עניינו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2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לעניינו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כאן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הוא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משמעותי</w:t>
      </w:r>
      <w:r>
        <w:rPr>
          <w:rFonts w:cs="FrankRuehl"/>
          <w:color w:val="000000"/>
          <w:sz w:val="24"/>
          <w:szCs w:val="24"/>
          <w:rtl w:val="true"/>
        </w:rPr>
        <w:t>.</w:t>
      </w:r>
    </w:p>
  </w:footnote>
  <w:footnote w:id="4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יצוין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נקבע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שכאשר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מורשע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ביותר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אחת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כמו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שכאן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המשמעות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צריך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להיות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בהכרח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מכפלה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מספר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העבירות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 w:val="24"/>
          <w:szCs w:val="24"/>
          <w:rtl w:val="true"/>
        </w:rPr>
        <w:t>לעניין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ראו</w:t>
      </w:r>
      <w:r>
        <w:rPr>
          <w:rFonts w:cs="FrankRuehl"/>
          <w:color w:val="000000"/>
          <w:sz w:val="24"/>
          <w:szCs w:val="24"/>
          <w:rtl w:val="true"/>
        </w:rPr>
        <w:t xml:space="preserve">: </w:t>
      </w:r>
      <w:hyperlink r:id="rId2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9603/09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Cs w:val="24"/>
        </w:rPr>
        <w:t>27.9.2011</w:t>
      </w:r>
      <w:r>
        <w:rPr>
          <w:rFonts w:cs="FrankRuehl"/>
          <w:color w:val="000000"/>
          <w:sz w:val="24"/>
          <w:szCs w:val="24"/>
          <w:rtl w:val="true"/>
        </w:rPr>
        <w:t xml:space="preserve">),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בחוות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דעתו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כבוד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השופט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מלצר</w:t>
      </w:r>
      <w:r>
        <w:rPr>
          <w:rFonts w:cs="FrankRuehl"/>
          <w:color w:val="000000"/>
          <w:sz w:val="24"/>
          <w:szCs w:val="24"/>
          <w:rtl w:val="true"/>
        </w:rPr>
        <w:t xml:space="preserve">; </w:t>
      </w:r>
      <w:hyperlink r:id="rId3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6662/13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פ</w:t>
      </w:r>
      <w:bookmarkStart w:id="11" w:name="SeifFN43"/>
      <w:r>
        <w:rPr>
          <w:rFonts w:cs="FrankRuehl"/>
          <w:color w:val="000000"/>
          <w:sz w:val="24"/>
          <w:sz w:val="24"/>
          <w:szCs w:val="24"/>
          <w:rtl w:val="true"/>
        </w:rPr>
        <w:t>יסקה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11</w:t>
      </w:r>
      <w:r>
        <w:rPr>
          <w:rFonts w:cs="FrankRuehl"/>
          <w:color w:val="000000"/>
          <w:sz w:val="24"/>
          <w:szCs w:val="24"/>
          <w:rtl w:val="true"/>
        </w:rPr>
        <w:t xml:space="preserve"> (</w:t>
      </w:r>
      <w:bookmarkEnd w:id="11"/>
      <w:r>
        <w:rPr>
          <w:rFonts w:cs="FrankRuehl"/>
          <w:color w:val="000000"/>
          <w:sz w:val="24"/>
          <w:szCs w:val="24"/>
        </w:rPr>
        <w:t>2.3.2015</w:t>
      </w:r>
      <w:r>
        <w:rPr>
          <w:rFonts w:cs="FrankRuehl"/>
          <w:color w:val="000000"/>
          <w:sz w:val="24"/>
          <w:szCs w:val="24"/>
          <w:rtl w:val="true"/>
        </w:rPr>
        <w:t xml:space="preserve">); </w:t>
      </w:r>
      <w:r>
        <w:rPr>
          <w:rFonts w:cs="FrankRuehl"/>
          <w:color w:val="000000"/>
          <w:sz w:val="24"/>
          <w:sz w:val="24"/>
          <w:szCs w:val="24"/>
          <w:rtl w:val="true"/>
        </w:rPr>
        <w:t>וכן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הערות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חברי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ההרכב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</w:t>
      </w:r>
      <w:hyperlink r:id="rId4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5617/19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Cs w:val="24"/>
        </w:rPr>
        <w:t>26.8.2021</w:t>
      </w:r>
      <w:r>
        <w:rPr>
          <w:rFonts w:cs="FrankRuehl"/>
          <w:color w:val="000000"/>
          <w:sz w:val="24"/>
          <w:szCs w:val="24"/>
          <w:rtl w:val="true"/>
        </w:rPr>
        <w:t xml:space="preserve">)). </w:t>
      </w:r>
      <w:r>
        <w:rPr>
          <w:rFonts w:cs="FrankRuehl"/>
          <w:color w:val="000000"/>
          <w:sz w:val="24"/>
          <w:sz w:val="24"/>
          <w:szCs w:val="24"/>
          <w:rtl w:val="true"/>
        </w:rPr>
        <w:t>ממילא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עונשי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אינם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צריכים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בהכרח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להצטרף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</w:t>
      </w:r>
      <w:r>
        <w:rPr>
          <w:rFonts w:cs="FrankRuehl"/>
          <w:color w:val="000000"/>
          <w:sz w:val="24"/>
          <w:szCs w:val="24"/>
          <w:rtl w:val="true"/>
        </w:rPr>
        <w:t>-</w:t>
      </w:r>
      <w:r>
        <w:rPr>
          <w:rFonts w:cs="FrankRuehl"/>
          <w:color w:val="000000"/>
          <w:sz w:val="24"/>
          <w:szCs w:val="24"/>
        </w:rPr>
        <w:t>90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חודשים</w:t>
      </w:r>
      <w:r>
        <w:rPr>
          <w:rFonts w:cs="FrankRuehl"/>
          <w:color w:val="000000"/>
          <w:sz w:val="24"/>
          <w:szCs w:val="24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70450-03-23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נאצר מחסן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 w:bidi="he-IL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color w:val="000000"/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 w:bidi="he-IL"/>
    </w:rPr>
  </w:style>
  <w:style w:type="character" w:styleId="WW8Num1z1">
    <w:name w:val="WW8Num1z1"/>
    <w:qFormat/>
    <w:rPr>
      <w:color w:val="000000"/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>
      <w:spacing w:lineRule="auto" w:line="360"/>
      <w:jc w:val="both"/>
    </w:pPr>
    <w:rPr>
      <w:sz w:val="20"/>
      <w:szCs w:val="20"/>
    </w:rPr>
  </w:style>
  <w:style w:type="paragraph" w:styleId="Style14">
    <w:name w:val="תבנית ציטוט"/>
    <w:basedOn w:val="Normal"/>
    <w:next w:val="Normal"/>
    <w:qFormat/>
    <w:pPr>
      <w:spacing w:before="0" w:after="120"/>
      <w:ind w:hanging="0" w:start="1134" w:end="1134"/>
      <w:jc w:val="both"/>
    </w:pPr>
    <w:rPr>
      <w:rFonts w:cs="FrankRuehl"/>
      <w:color w:val="00000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i.a.1" TargetMode="External"/><Relationship Id="rId13" Type="http://schemas.openxmlformats.org/officeDocument/2006/relationships/hyperlink" Target="http://www.nevo.co.il/law/70301/40i.a.2" TargetMode="External"/><Relationship Id="rId14" Type="http://schemas.openxmlformats.org/officeDocument/2006/relationships/hyperlink" Target="http://www.nevo.co.il/law/70301/40i.a.3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40i.a.5" TargetMode="External"/><Relationship Id="rId17" Type="http://schemas.openxmlformats.org/officeDocument/2006/relationships/hyperlink" Target="http://www.nevo.co.il/law/70301/40i.a.6." TargetMode="External"/><Relationship Id="rId18" Type="http://schemas.openxmlformats.org/officeDocument/2006/relationships/hyperlink" Target="http://www.nevo.co.il/law/70301/40i.a.7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.g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b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c.a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/40jb" TargetMode="External"/><Relationship Id="rId30" Type="http://schemas.openxmlformats.org/officeDocument/2006/relationships/hyperlink" Target="http://www.nevo.co.il/law/70301/40c.b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/40jb" TargetMode="External"/><Relationship Id="rId33" Type="http://schemas.openxmlformats.org/officeDocument/2006/relationships/hyperlink" Target="http://www.nevo.co.il/law/70301/40f;40g" TargetMode="External"/><Relationship Id="rId34" Type="http://schemas.openxmlformats.org/officeDocument/2006/relationships/hyperlink" Target="http://www.nevo.co.il/law/70301/40d" TargetMode="External"/><Relationship Id="rId35" Type="http://schemas.openxmlformats.org/officeDocument/2006/relationships/hyperlink" Target="http://www.nevo.co.il/law/70301/40e" TargetMode="External"/><Relationship Id="rId36" Type="http://schemas.openxmlformats.org/officeDocument/2006/relationships/hyperlink" Target="http://www.nevo.co.il/case/27309272" TargetMode="External"/><Relationship Id="rId37" Type="http://schemas.openxmlformats.org/officeDocument/2006/relationships/hyperlink" Target="http://www.nevo.co.il/case/28243273" TargetMode="External"/><Relationship Id="rId38" Type="http://schemas.openxmlformats.org/officeDocument/2006/relationships/hyperlink" Target="http://www.nevo.co.il/case/28697218" TargetMode="External"/><Relationship Id="rId39" Type="http://schemas.openxmlformats.org/officeDocument/2006/relationships/hyperlink" Target="http://www.nevo.co.il/case/26193556" TargetMode="External"/><Relationship Id="rId40" Type="http://schemas.openxmlformats.org/officeDocument/2006/relationships/hyperlink" Target="http://www.nevo.co.il/case/27309272" TargetMode="External"/><Relationship Id="rId41" Type="http://schemas.openxmlformats.org/officeDocument/2006/relationships/hyperlink" Target="http://www.nevo.co.il/case/29564821" TargetMode="External"/><Relationship Id="rId42" Type="http://schemas.openxmlformats.org/officeDocument/2006/relationships/hyperlink" Target="http://www.nevo.co.il/law/70301/40i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i.a.2" TargetMode="External"/><Relationship Id="rId45" Type="http://schemas.openxmlformats.org/officeDocument/2006/relationships/hyperlink" Target="http://www.nevo.co.il/law/70301/40i.a.3" TargetMode="External"/><Relationship Id="rId46" Type="http://schemas.openxmlformats.org/officeDocument/2006/relationships/hyperlink" Target="http://www.nevo.co.il/law/70301/40i.a.4" TargetMode="External"/><Relationship Id="rId47" Type="http://schemas.openxmlformats.org/officeDocument/2006/relationships/hyperlink" Target="http://www.nevo.co.il/law/70301/40i.a.5" TargetMode="External"/><Relationship Id="rId48" Type="http://schemas.openxmlformats.org/officeDocument/2006/relationships/hyperlink" Target="http://www.nevo.co.il/law/70301/40i.a.6.;40i.a.7" TargetMode="External"/><Relationship Id="rId49" Type="http://schemas.openxmlformats.org/officeDocument/2006/relationships/hyperlink" Target="http://www.nevo.co.il/law/70301/144.g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8266138" TargetMode="External"/><Relationship Id="rId52" Type="http://schemas.openxmlformats.org/officeDocument/2006/relationships/hyperlink" Target="http://www.nevo.co.il/case/28660017" TargetMode="External"/><Relationship Id="rId53" Type="http://schemas.openxmlformats.org/officeDocument/2006/relationships/hyperlink" Target="http://www.nevo.co.il/case/28452933" TargetMode="External"/><Relationship Id="rId54" Type="http://schemas.openxmlformats.org/officeDocument/2006/relationships/hyperlink" Target="http://www.nevo.co.il/case/28643606" TargetMode="External"/><Relationship Id="rId55" Type="http://schemas.openxmlformats.org/officeDocument/2006/relationships/hyperlink" Target="http://www.nevo.co.il/case/29486731" TargetMode="External"/><Relationship Id="rId56" Type="http://schemas.openxmlformats.org/officeDocument/2006/relationships/hyperlink" Target="http://www.nevo.co.il/case/28643606" TargetMode="External"/><Relationship Id="rId57" Type="http://schemas.openxmlformats.org/officeDocument/2006/relationships/hyperlink" Target="http://www.nevo.co.il/case/27912651" TargetMode="External"/><Relationship Id="rId58" Type="http://schemas.openxmlformats.org/officeDocument/2006/relationships/hyperlink" Target="http://www.nevo.co.il/case/28697227" TargetMode="External"/><Relationship Id="rId59" Type="http://schemas.openxmlformats.org/officeDocument/2006/relationships/hyperlink" Target="http://www.nevo.co.il/case/21472788" TargetMode="External"/><Relationship Id="rId60" Type="http://schemas.openxmlformats.org/officeDocument/2006/relationships/hyperlink" Target="http://www.nevo.co.il/case/26630169" TargetMode="External"/><Relationship Id="rId61" Type="http://schemas.openxmlformats.org/officeDocument/2006/relationships/hyperlink" Target="http://www.nevo.co.il/case/28697227" TargetMode="External"/><Relationship Id="rId62" Type="http://schemas.openxmlformats.org/officeDocument/2006/relationships/hyperlink" Target="http://www.nevo.co.il/case/26358476" TargetMode="External"/><Relationship Id="rId63" Type="http://schemas.openxmlformats.org/officeDocument/2006/relationships/hyperlink" Target="http://www.nevo.co.il/case/25430243" TargetMode="External"/><Relationship Id="rId64" Type="http://schemas.openxmlformats.org/officeDocument/2006/relationships/hyperlink" Target="http://www.nevo.co.il/case/28967628" TargetMode="External"/><Relationship Id="rId65" Type="http://schemas.openxmlformats.org/officeDocument/2006/relationships/hyperlink" Target="http://www.nevo.co.il/case/30500337" TargetMode="External"/><Relationship Id="rId66" Type="http://schemas.openxmlformats.org/officeDocument/2006/relationships/hyperlink" Target="http://www.nevo.co.il/case/28967628" TargetMode="External"/><Relationship Id="rId67" Type="http://schemas.openxmlformats.org/officeDocument/2006/relationships/hyperlink" Target="http://www.nevo.co.il/law/70301/40h" TargetMode="External"/><Relationship Id="rId68" Type="http://schemas.openxmlformats.org/officeDocument/2006/relationships/hyperlink" Target="http://www.nevo.co.il/law/70301/40ja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advertisements/nevo-100.doc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footnotes" Target="footnotes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case/27925239" TargetMode="External"/><Relationship Id="rId2" Type="http://schemas.openxmlformats.org/officeDocument/2006/relationships/hyperlink" Target="http://www.nevo.co.il/case/6249234" TargetMode="External"/><Relationship Id="rId3" Type="http://schemas.openxmlformats.org/officeDocument/2006/relationships/hyperlink" Target="http://www.nevo.co.il/case/10442754" TargetMode="External"/><Relationship Id="rId4" Type="http://schemas.openxmlformats.org/officeDocument/2006/relationships/hyperlink" Target="http://www.nevo.co.il/case/25994899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2024-04-17T13:30:00Z</dcterms:created>
  <dc:creator> </dc:creator>
  <dc:description/>
  <cp:keywords/>
  <dc:language>en-IL</dc:language>
  <cp:lastModifiedBy>h1</cp:lastModifiedBy>
  <dcterms:modified xsi:type="dcterms:W3CDTF">2024-04-17T13:30:00Z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נאצר מחסן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ProcID=213&amp;PartA=14&amp;PartC=13</vt:lpwstr>
  </property>
  <property fmtid="{D5CDD505-2E9C-101B-9397-08002B2CF9AE}" pid="9" name="CASESLISTTMP1">
    <vt:lpwstr>27309272:2;28243273;28697218;26193556;29564821;28266138;28660017;28452933;28643606:2;29486731;27912651;28697227:2;21472788;26630169;26358476;25430243;28967628:2;30500337;27925239;6249234;10442754;25994899</vt:lpwstr>
  </property>
  <property fmtid="{D5CDD505-2E9C-101B-9397-08002B2CF9AE}" pid="10" name="CITY">
    <vt:lpwstr>י-ם</vt:lpwstr>
  </property>
  <property fmtid="{D5CDD505-2E9C-101B-9397-08002B2CF9AE}" pid="11" name="DATE">
    <vt:lpwstr>20240415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אלעזר נחלון</vt:lpwstr>
  </property>
  <property fmtid="{D5CDD505-2E9C-101B-9397-08002B2CF9AE}" pid="15" name="LAWLISTTMP1">
    <vt:lpwstr>70301/144.b2:2;040b:2;040c.a:2;040i:2;40jb:4;040c.b:2;40ja:4;040f:2;040g:2;040d:2;040e:2;040i.a.1:2;040i.a.2:2;040i.a.3:2;040i.a.4:2;040i.a.5:2;040i.a.6:2;040i.a.7:2;144.g:2;040h:2</vt:lpwstr>
  </property>
  <property fmtid="{D5CDD505-2E9C-101B-9397-08002B2CF9AE}" pid="16" name="LAWYER">
    <vt:lpwstr>שי עציון;נדב שחם;יוסי זילברברג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70450</vt:lpwstr>
  </property>
  <property fmtid="{D5CDD505-2E9C-101B-9397-08002B2CF9AE}" pid="23" name="NEWPARTB">
    <vt:lpwstr>03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390020240415</vt:lpwstr>
  </property>
  <property fmtid="{D5CDD505-2E9C-101B-9397-08002B2CF9AE}" pid="35" name="TYPE_N_DATE">
    <vt:lpwstr>39020240415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