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7054-05-08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מחאגנה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7072-05-08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משה גינות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 מחאגנה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אבראהים מחאגנה כוס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גלעד תלמי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הנאשמים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הנאשמים</w:t>
      </w:r>
      <w:r>
        <w:rPr>
          <w:u w:val="none"/>
          <w:rtl w:val="true"/>
        </w:rPr>
        <w:t xml:space="preserve">: 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אדל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275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 xml:space="preserve">הנאשמים מחמוד מחאגנה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1</w:t>
      </w:r>
      <w:r>
        <w:rPr>
          <w:b/>
          <w:bCs/>
          <w:rtl w:val="true"/>
        </w:rPr>
        <w:t>"</w:t>
      </w:r>
      <w:r>
        <w:rPr>
          <w:rtl w:val="true"/>
        </w:rPr>
        <w:t xml:space="preserve"> ) </w:t>
      </w:r>
      <w:r>
        <w:rPr>
          <w:rtl w:val="true"/>
        </w:rPr>
        <w:t xml:space="preserve">ואבראהים מחאגנה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2</w:t>
      </w:r>
      <w:r>
        <w:rPr>
          <w:b/>
          <w:bCs/>
          <w:rtl w:val="true"/>
        </w:rPr>
        <w:t>"</w:t>
      </w:r>
      <w:r>
        <w:rPr>
          <w:rtl w:val="true"/>
        </w:rPr>
        <w:t xml:space="preserve"> ), </w:t>
      </w:r>
      <w:r>
        <w:rPr>
          <w:rtl w:val="true"/>
        </w:rPr>
        <w:t>הורשעו על פי הודאתם</w:t>
      </w:r>
      <w:r>
        <w:rPr>
          <w:rtl w:val="true"/>
        </w:rPr>
        <w:t xml:space="preserve">, </w:t>
      </w:r>
      <w:r>
        <w:rPr>
          <w:rtl w:val="true"/>
        </w:rPr>
        <w:t xml:space="preserve">בעבירת </w:t>
      </w:r>
      <w:bookmarkStart w:id="12" w:name="TQL"/>
      <w:bookmarkEnd w:id="12"/>
      <w:r>
        <w:rPr>
          <w:rtl w:val="true"/>
        </w:rPr>
        <w:t xml:space="preserve">החזקת נשק שלא כדין 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 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עפ</w:t>
      </w:r>
      <w:r>
        <w:rPr>
          <w:rtl w:val="true"/>
        </w:rPr>
        <w:t>"</w:t>
      </w:r>
      <w:r>
        <w:rPr>
          <w:rtl w:val="true"/>
        </w:rPr>
        <w:t>י הודאתו גם בעבירת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bookmarkStart w:id="13" w:name="ABSTRACT_END"/>
      <w:bookmarkEnd w:id="13"/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אין מחלוקת כי ביום </w:t>
      </w:r>
      <w:r>
        <w:rPr/>
        <w:t>26.5.08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באום אל פחם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בנשק מסוג אקדח ברטה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נושא מס</w:t>
      </w:r>
      <w:r>
        <w:rPr>
          <w:rtl w:val="true"/>
        </w:rPr>
        <w:t xml:space="preserve">' </w:t>
      </w:r>
      <w:r>
        <w:rPr>
          <w:rFonts w:cs="Times New Roman"/>
        </w:rPr>
        <w:t>A75124U</w:t>
      </w:r>
      <w:r>
        <w:rPr>
          <w:rtl w:val="true"/>
        </w:rPr>
        <w:t xml:space="preserve"> </w:t>
      </w:r>
      <w:r>
        <w:rPr>
          <w:rtl w:val="true"/>
        </w:rPr>
        <w:t xml:space="preserve">ובמחסנית תואמת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וזאת בלא שתהא לו רשות עפ</w:t>
      </w:r>
      <w:r>
        <w:rPr>
          <w:rtl w:val="true"/>
        </w:rPr>
        <w:t>"</w:t>
      </w:r>
      <w:r>
        <w:rPr>
          <w:rtl w:val="true"/>
        </w:rPr>
        <w:t>י דין להחזקתו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720" w:end="0"/>
        <w:jc w:val="both"/>
        <w:rPr/>
      </w:pPr>
      <w:r>
        <w:rPr>
          <w:rFonts w:cs="Times New Roman"/>
          <w:rtl w:val="true"/>
        </w:rPr>
        <w:tab/>
      </w:r>
      <w:r>
        <w:rPr>
          <w:rtl w:val="true"/>
        </w:rPr>
        <w:t>באותן נסיבות ובהמשך מסר 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הנשק הנ</w:t>
      </w:r>
      <w:r>
        <w:rPr>
          <w:rtl w:val="true"/>
        </w:rPr>
        <w:t>"</w:t>
      </w:r>
      <w:r>
        <w:rPr>
          <w:rtl w:val="true"/>
        </w:rPr>
        <w:t>ל בידי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 החזיקו בתוך מכנסיו</w:t>
      </w:r>
      <w:r>
        <w:rPr>
          <w:rtl w:val="true"/>
        </w:rPr>
        <w:t xml:space="preserve">. </w:t>
      </w:r>
      <w:r>
        <w:rPr>
          <w:rtl w:val="true"/>
        </w:rPr>
        <w:t>בהמשך ובמהלך סיור שגרתי של ניידת סיור יס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הבחינו השוטרים ברכבו של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מסוג מיצובישי לבנה 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5440720</w:t>
      </w:r>
      <w:r>
        <w:rPr>
          <w:rtl w:val="true"/>
        </w:rPr>
        <w:t xml:space="preserve">, </w:t>
      </w:r>
      <w:r>
        <w:rPr>
          <w:rtl w:val="true"/>
        </w:rPr>
        <w:t>סימנו לו לעצור ובבואם לבצע חיפוש ברכב השליך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הנשק מחוץ לחלון הרכב וזאת במטרה להכשיל את השוטרים בעת מילוי תפקידם כדין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בישיבת יום </w:t>
      </w:r>
      <w:r>
        <w:rPr/>
        <w:t>28.9.08</w:t>
      </w:r>
      <w:r>
        <w:rPr>
          <w:rtl w:val="true"/>
        </w:rPr>
        <w:t xml:space="preserve"> </w:t>
      </w:r>
      <w:r>
        <w:rPr>
          <w:rtl w:val="true"/>
        </w:rPr>
        <w:t>הנאשמים הודו בעובדות המיוחסות להם בכתב האישום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עניינם של הנאשמים נשלח לקבלת תסקיר שירות מבחן לעניין העונש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נתבקש תסקיר קצין מבחן</w:t>
      </w:r>
      <w:r>
        <w:rPr>
          <w:rtl w:val="true"/>
        </w:rPr>
        <w:t xml:space="preserve">, </w:t>
      </w:r>
      <w:r>
        <w:rPr>
          <w:rtl w:val="true"/>
        </w:rPr>
        <w:t xml:space="preserve">ממנו עולה כי המדובר בנאשם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 כל עבר פלילי</w:t>
      </w:r>
      <w:r>
        <w:rPr>
          <w:rtl w:val="true"/>
        </w:rPr>
        <w:t xml:space="preserve">, </w:t>
      </w:r>
      <w:r>
        <w:rPr>
          <w:rtl w:val="true"/>
        </w:rPr>
        <w:t>העובד כפועל במאפייה בפתח תקווה</w:t>
      </w:r>
      <w:r>
        <w:rPr>
          <w:rtl w:val="true"/>
        </w:rPr>
        <w:t xml:space="preserve">, </w:t>
      </w:r>
      <w:r>
        <w:rPr>
          <w:rtl w:val="true"/>
        </w:rPr>
        <w:t xml:space="preserve">ובכוונתו בסיום ההליך המשפטי להמשיך בלימודים והתמקצעות בתחום הנדסאי מזגנים במכללת </w:t>
      </w:r>
      <w:r>
        <w:rPr>
          <w:rtl w:val="true"/>
        </w:rPr>
        <w:t>"</w:t>
      </w:r>
      <w:r>
        <w:rPr>
          <w:rtl w:val="true"/>
        </w:rPr>
        <w:t>עתיד</w:t>
      </w:r>
      <w:r>
        <w:rPr>
          <w:rtl w:val="true"/>
        </w:rPr>
        <w:t xml:space="preserve">" </w:t>
      </w:r>
      <w:r>
        <w:rPr>
          <w:rtl w:val="true"/>
        </w:rPr>
        <w:t>באום אל פחם</w:t>
      </w:r>
      <w:r>
        <w:rPr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 xml:space="preserve">הנאשם 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וברשותו תעודת בגרות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בפגישתו עם קצין מבחן התקשה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לקחת אחריות על העבירות שביצע וטען כי תחילה לא ידע על הימצאות נשק ברכבו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בבואה להמליץ על העונש הראוי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נמנעה קצינת המבחן מהמלצה</w:t>
      </w:r>
      <w:r>
        <w:rPr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לאור העובדה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הפחית וטשטש את אחריותו בעבירות המיוחסות לו והתקשה להכיר בבעייתיות שבהתנהגותו</w:t>
      </w:r>
      <w:r>
        <w:rPr>
          <w:rtl w:val="true"/>
        </w:rPr>
        <w:t xml:space="preserve">;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קצינת המבחן הדגישה כי להערכתה שליחת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לריצוי מאסר פועל עלולה להביא לפגיעה בתעסוקתו ולחבל במאמציו לנהל חיים נורמטיביים ויכולה להביא להפנמת נורמות עברייניות בבואו במגע עם אסירים אחרים</w:t>
      </w:r>
      <w:r>
        <w:rPr>
          <w:rtl w:val="true"/>
        </w:rPr>
        <w:t xml:space="preserve">; </w:t>
      </w:r>
      <w:r>
        <w:rPr>
          <w:rtl w:val="true"/>
        </w:rPr>
        <w:t xml:space="preserve">ועל כן המליצה כי במידה ויוטל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 מאסר בפועל</w:t>
      </w:r>
      <w:r>
        <w:rPr>
          <w:rtl w:val="true"/>
        </w:rPr>
        <w:t xml:space="preserve">, </w:t>
      </w:r>
      <w:r>
        <w:rPr>
          <w:rtl w:val="true"/>
        </w:rPr>
        <w:t>להמירו בעבודות שירות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גם בעניינו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נתבקש תסקיר קצין מבחן</w:t>
      </w:r>
      <w:r>
        <w:rPr>
          <w:rtl w:val="true"/>
        </w:rPr>
        <w:t xml:space="preserve">, </w:t>
      </w:r>
      <w:r>
        <w:rPr>
          <w:rtl w:val="true"/>
        </w:rPr>
        <w:t xml:space="preserve">ממנו עולה כי המדובר בנאשם 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 כל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נשר מבית הספר לאחר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לימוד והחל לעבוד בעבודות מזדמנות וכעת עובד עם קבלן בתחום החשמל</w:t>
      </w:r>
      <w:r>
        <w:rPr>
          <w:rFonts w:cs="Times New Roman"/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Fonts w:cs="Times New Roman"/>
          <w:rtl w:val="true"/>
        </w:rPr>
        <w:tab/>
      </w:r>
      <w:r>
        <w:rPr>
          <w:rtl w:val="true"/>
        </w:rPr>
        <w:t xml:space="preserve">בפגישתו עם קצין מבחן התקשה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לקחת אחריות על העבירות שביצע וטען כי מצא את הנשק בדרכו לפגוש את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 קפה</w:t>
      </w:r>
      <w:r>
        <w:rPr>
          <w:rtl w:val="true"/>
        </w:rPr>
        <w:t xml:space="preserve">, </w:t>
      </w:r>
      <w:r>
        <w:rPr>
          <w:rtl w:val="true"/>
        </w:rPr>
        <w:t>וטען כי פחד למסור את הנשק במשטרה מהחשש שיואשם בבעלות עליו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בבואה להמליץ על העונש הראוי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נמנעה קצינת המבחן מהמלצה</w:t>
      </w:r>
      <w:r>
        <w:rPr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לאור העובדה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 לראות את משמעות התנהגותו וחומרתה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בטיעוניו לעונש</w:t>
      </w:r>
      <w:r>
        <w:rPr>
          <w:rtl w:val="true"/>
        </w:rPr>
        <w:t xml:space="preserve">, </w:t>
      </w:r>
      <w:r>
        <w:rPr>
          <w:rtl w:val="true"/>
        </w:rPr>
        <w:t>עמד על החומרה הרבה שבמעשיהם</w:t>
      </w:r>
      <w:r>
        <w:rPr>
          <w:rtl w:val="true"/>
        </w:rPr>
        <w:t xml:space="preserve">, </w:t>
      </w:r>
      <w:r>
        <w:rPr>
          <w:rtl w:val="true"/>
        </w:rPr>
        <w:t>ושם את הדגש על הסיכון אותו יצרו הנאשמים בהתנהלותם</w:t>
      </w:r>
      <w:r>
        <w:rPr>
          <w:rtl w:val="true"/>
        </w:rPr>
        <w:t xml:space="preserve">; </w:t>
      </w:r>
      <w:r>
        <w:rPr>
          <w:rtl w:val="true"/>
        </w:rPr>
        <w:t>הוא הפנה לפסקי דין שניתנו בביהמ</w:t>
      </w:r>
      <w:r>
        <w:rPr>
          <w:rtl w:val="true"/>
        </w:rPr>
        <w:t>"</w:t>
      </w:r>
      <w:r>
        <w:rPr>
          <w:rtl w:val="true"/>
        </w:rPr>
        <w:t>ש העליון בהם הוטלו עונשי מאסר לריצוי בפועל בגין עבירות של החזקת נשק</w:t>
      </w:r>
      <w:r>
        <w:rPr>
          <w:rtl w:val="true"/>
        </w:rPr>
        <w:t xml:space="preserve">: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182/08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פאיז קרסאלי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11877-07-09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יורם כהן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10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11991/05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אגבריה מאלק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b/>
          <w:bCs/>
          <w:u w:val="single"/>
          <w:rtl w:val="true"/>
        </w:rPr>
        <w:t>;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180/04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ניזאר אבו נימר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b/>
          <w:bCs/>
          <w:rtl w:val="true"/>
        </w:rPr>
        <w:t>.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 להטיל על הנאשמים מאסר בפועל ממושך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ביקש להקל עם מרשיו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המדובר באקדח ברטה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עם מחסנית תואמת וללא כדורים בכלל</w:t>
      </w:r>
      <w:r>
        <w:rPr>
          <w:rtl w:val="true"/>
        </w:rPr>
        <w:t xml:space="preserve">. </w:t>
      </w:r>
      <w:r>
        <w:rPr>
          <w:rtl w:val="true"/>
        </w:rPr>
        <w:t>האקדח הובא ע</w:t>
      </w:r>
      <w:r>
        <w:rPr>
          <w:rtl w:val="true"/>
        </w:rPr>
        <w:t>"</w:t>
      </w:r>
      <w:r>
        <w:rPr>
          <w:rtl w:val="true"/>
        </w:rPr>
        <w:t xml:space="preserve">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אשר מצא אותו בחורשה ובהיותם בתוך הרכב הביא אותו לידיעת הנאשם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מדובר בנאשמים אשר מנהלים אורח חיים נורמטיבי שאינם זקוקים לטיפול כלשהו של שירות המבחן</w:t>
      </w:r>
      <w:r>
        <w:rPr>
          <w:rtl w:val="true"/>
        </w:rPr>
        <w:t xml:space="preserve">, </w:t>
      </w:r>
      <w:r>
        <w:rPr>
          <w:rtl w:val="true"/>
        </w:rPr>
        <w:t>וכי מדובר במעידה חד פעמית שכן זוהי הסתבכותם הראשונה של הנאשמים עם החוק</w:t>
      </w:r>
      <w:r>
        <w:rPr>
          <w:rtl w:val="true"/>
        </w:rPr>
        <w:t xml:space="preserve">. </w:t>
      </w:r>
      <w:r>
        <w:rPr>
          <w:rtl w:val="true"/>
        </w:rPr>
        <w:t>הוא גם הדגיש כי הנאשמים הודו בעבירות המיוחסות להם וכי לא נתכוונו לבצע עבירה פלילית כלשהי באמצעות הנשק אותו החזיקו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ביקש שלא למצות את הדין עם הנאשמים לנוכח הודייתם בהזדמנות הראשונה</w:t>
      </w:r>
      <w:r>
        <w:rPr>
          <w:rtl w:val="true"/>
        </w:rPr>
        <w:t xml:space="preserve">, </w:t>
      </w:r>
      <w:r>
        <w:rPr>
          <w:rtl w:val="true"/>
        </w:rPr>
        <w:t>דבר המצביע על חרטה</w:t>
      </w:r>
      <w:r>
        <w:rPr>
          <w:rtl w:val="true"/>
        </w:rPr>
        <w:t xml:space="preserve">, </w:t>
      </w:r>
      <w:r>
        <w:rPr>
          <w:rtl w:val="true"/>
        </w:rPr>
        <w:t xml:space="preserve">וכן נוכח תסקיר שירות המבחן שהוגש לגבי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הממליץ כי במידה ויוטל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מאסר בפועל אזי ירוצה הוא בעבודות שירות שכן שליחתו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לריצוי מאסר בפועל עלולה להוביל להפנמת התנהגות עבריינית אצלו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>
          <w:rtl w:val="true"/>
        </w:rPr>
        <w:tab/>
      </w:r>
      <w:r>
        <w:rPr>
          <w:rtl w:val="true"/>
        </w:rPr>
        <w:t>בהתייחס לפסקי הדין אליהם הפנה התובע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הנאשמים כי שם מדובר בנסיבות חמורות פי כמה מן הנסיבות שבפנינו</w:t>
      </w:r>
      <w:r>
        <w:rPr>
          <w:rtl w:val="true"/>
        </w:rPr>
        <w:t xml:space="preserve">, </w:t>
      </w:r>
      <w:r>
        <w:rPr>
          <w:rtl w:val="true"/>
        </w:rPr>
        <w:t>וכן בנאשמים בעלי עבר פלילי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הגיש פסיקה רחבה של בימ</w:t>
      </w:r>
      <w:r>
        <w:rPr>
          <w:rtl w:val="true"/>
        </w:rPr>
        <w:t>"</w:t>
      </w:r>
      <w:r>
        <w:rPr>
          <w:rtl w:val="true"/>
        </w:rPr>
        <w:t>ש מחוזי בהם נראה כי בעבירות דומות כאשר מדובר בנאשמים בעלי עבר פלילי נקי הוטלו עליהם עונשי מאסר בפועל לריצוי בעבודות שירות</w:t>
      </w:r>
      <w:r>
        <w:rPr>
          <w:rtl w:val="true"/>
        </w:rPr>
        <w:t xml:space="preserve">: </w:t>
      </w:r>
      <w:hyperlink r:id="rId1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4206-01-09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שריף עלוואי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1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10774-06-09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 אגבריה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134/09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שאער אמין וחלבי חמזה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;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1074/07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שלבי אחמד</w:t>
      </w:r>
      <w:r>
        <w:rPr>
          <w:rtl w:val="true"/>
        </w:rPr>
        <w:t xml:space="preserve"> </w:t>
      </w:r>
      <w:r>
        <w:rPr>
          <w:b/>
          <w:bCs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אין צורך להכביר מילים על חומרת העבירות בהן הורשעו הנאשמים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כי הסכנה הטמונה בעבירה החמורה של החזקת נשק מצדיקה הטלת עונשי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בעבירות אלו יש להעדיף את האינטרס הציבורי הדורש להרתיע עבריינים בכוח מלבצע עבירות דומות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לזכור כי הענישה היא אינדיווידואלית וקודם גזירת הדין על ביהמ</w:t>
      </w:r>
      <w:r>
        <w:rPr>
          <w:rtl w:val="true"/>
        </w:rPr>
        <w:t>"</w:t>
      </w:r>
      <w:r>
        <w:rPr>
          <w:rtl w:val="true"/>
        </w:rPr>
        <w:t>ש ליתן משקל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הנסיבות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>אופן ניהול הדיון והמלצות שירות המבחן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 xml:space="preserve">ביחס לנאשם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David"/>
        <w:ind w:hanging="720" w:start="720" w:end="0"/>
        <w:jc w:val="both"/>
        <w:rPr/>
      </w:pPr>
      <w:r>
        <w:rPr>
          <w:rFonts w:cs="Times New Roman"/>
          <w:rtl w:val="true"/>
        </w:rPr>
        <w:tab/>
      </w:r>
      <w:r>
        <w:rPr>
          <w:rtl w:val="true"/>
        </w:rPr>
        <w:t xml:space="preserve">בבואי לגזור את דינו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בנסיבות העניין ניתן לגזור לנאשם עונש מאסר בפועל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וזאת בהביאי בחשבון את הודייתו בהזדמנות הראשונה</w:t>
      </w:r>
      <w:r>
        <w:rPr>
          <w:rtl w:val="true"/>
        </w:rPr>
        <w:t xml:space="preserve">, </w:t>
      </w:r>
      <w:r>
        <w:rPr>
          <w:rtl w:val="true"/>
        </w:rPr>
        <w:t>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את העובדה שלא מדובר בעבריין</w:t>
      </w:r>
      <w:r>
        <w:rPr>
          <w:rtl w:val="true"/>
        </w:rPr>
        <w:t xml:space="preserve">, </w:t>
      </w:r>
      <w:r>
        <w:rPr>
          <w:rtl w:val="true"/>
        </w:rPr>
        <w:t>ובעיקר את העובדה כי הנאשם היה עצור שבוע ימים ובהמשך שהה במעצר בית מלא</w:t>
      </w:r>
      <w:r>
        <w:rPr>
          <w:rtl w:val="true"/>
        </w:rPr>
        <w:t xml:space="preserve">, </w:t>
      </w:r>
      <w:r>
        <w:rPr>
          <w:rtl w:val="true"/>
        </w:rPr>
        <w:t>דבר שאינו פשוט למי שעולם העבריינות זר לו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הנני גוזר לנאשם </w:t>
      </w:r>
      <w:r>
        <w:rPr/>
        <w:t>1</w:t>
      </w:r>
      <w:r>
        <w:rPr>
          <w:rtl w:val="true"/>
        </w:rPr>
        <w:t>: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1440" w:end="0"/>
        <w:jc w:val="both"/>
        <w:rPr>
          <w:rFonts w:cs="Times New Roman"/>
        </w:rPr>
      </w:pPr>
      <w:r>
        <w:rPr>
          <w:rtl w:val="true"/>
        </w:rPr>
        <w:t>א</w:t>
      </w:r>
      <w:r>
        <w:rPr>
          <w:rFonts w:cs="Times New Roman"/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בעבודת שירות</w:t>
      </w:r>
      <w:r>
        <w:rPr>
          <w:rtl w:val="true"/>
        </w:rPr>
        <w:t xml:space="preserve">, </w:t>
      </w:r>
      <w:r>
        <w:rPr>
          <w:rtl w:val="true"/>
        </w:rPr>
        <w:t>אם ימליץ על כך הממונה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144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ישוב ויעבור העבירות בהן הורשע</w:t>
      </w:r>
      <w:r>
        <w:rPr>
          <w:rtl w:val="true"/>
        </w:rPr>
        <w:t xml:space="preserve">. </w:t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2000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שיחלו בתום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מיום תום עבודות השירות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 xml:space="preserve">ביחס לנאשם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720" w:end="0"/>
        <w:jc w:val="both"/>
        <w:rPr/>
      </w:pPr>
      <w:r>
        <w:rPr>
          <w:rFonts w:cs="Times New Roman"/>
          <w:rtl w:val="true"/>
        </w:rPr>
        <w:tab/>
      </w:r>
      <w:r>
        <w:rPr>
          <w:rtl w:val="true"/>
        </w:rPr>
        <w:t xml:space="preserve">בבואי לגזור את דינו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בנסיבות העניין ניתן לגזור לנאשם עונש מאסר בפועל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וזאת בהביאי בחשבון את הודייתו בהזדמנות הראשונה</w:t>
      </w:r>
      <w:r>
        <w:rPr>
          <w:rtl w:val="true"/>
        </w:rPr>
        <w:t xml:space="preserve">, </w:t>
      </w:r>
      <w:r>
        <w:rPr>
          <w:rtl w:val="true"/>
        </w:rPr>
        <w:t>את העובדה שלא מדובר בעבריין</w:t>
      </w:r>
      <w:r>
        <w:rPr>
          <w:rtl w:val="true"/>
        </w:rPr>
        <w:t xml:space="preserve">, </w:t>
      </w:r>
      <w:r>
        <w:rPr>
          <w:rtl w:val="true"/>
        </w:rPr>
        <w:t>ובעיקר את העובדה שאין כל ראיה ואף לא נטען כי הנאשם נתכוון לבצע עבירה פלילית באמצעות כלי הנשק אותו החזיק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rFonts w:cs="Times New Roman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הנני גוזר לנאשם </w:t>
      </w:r>
      <w:r>
        <w:rPr/>
        <w:t>2</w:t>
      </w:r>
      <w:r>
        <w:rPr>
          <w:rtl w:val="true"/>
        </w:rPr>
        <w:t>: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1440" w:end="0"/>
        <w:jc w:val="both"/>
        <w:rPr>
          <w:rFonts w:cs="Times New Roman"/>
        </w:rPr>
      </w:pPr>
      <w:r>
        <w:rPr>
          <w:rtl w:val="true"/>
        </w:rPr>
        <w:t>א</w:t>
      </w:r>
      <w:r>
        <w:rPr>
          <w:rFonts w:cs="Times New Roman"/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</w:p>
    <w:p>
      <w:pPr>
        <w:pStyle w:val="David"/>
        <w:ind w:hanging="720" w:start="1440" w:end="0"/>
        <w:jc w:val="both"/>
        <w:rPr/>
      </w:pPr>
      <w:r>
        <w:rPr>
          <w:rFonts w:cs="Times New Roman"/>
          <w:rtl w:val="true"/>
        </w:rPr>
        <w:tab/>
      </w:r>
      <w:r>
        <w:rPr>
          <w:rtl w:val="true"/>
        </w:rPr>
        <w:t xml:space="preserve">המאסר ירוצה בעבודות שירות בבית אבות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 xml:space="preserve">נוב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יתייצב לתחילת ריצוי העונש בפני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במתחם בית סוהר חרמון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17.3.10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8:00</w:t>
      </w:r>
      <w:r>
        <w:rPr>
          <w:rtl w:val="true"/>
        </w:rPr>
        <w:t xml:space="preserve">. </w:t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ישוב ויעבור העבירות בהן הורשע</w:t>
      </w:r>
      <w:r>
        <w:rPr>
          <w:rtl w:val="true"/>
        </w:rPr>
        <w:t xml:space="preserve">. </w:t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</w:r>
    </w:p>
    <w:p>
      <w:pPr>
        <w:pStyle w:val="David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1500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15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שיחלו בתום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מיום תום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כלי הנשק יחולט לטובת המדינה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בתוך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ימים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. </w:t>
      </w:r>
      <w:r>
        <w:rPr>
          <w:rFonts w:eastAsia="Times New Roman" w:cs="Times New Roman" w:ascii="Times New Roman" w:hAnsi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  <w:rtl w:val="true"/>
        </w:rPr>
        <w:t>&lt;</w:t>
      </w:r>
      <w:r>
        <w:rPr>
          <w:rFonts w:eastAsia="Times New Roman" w:cs="Arial" w:ascii="Arial" w:hAnsi="Arial"/>
          <w:sz w:val="6"/>
          <w:szCs w:val="6"/>
        </w:rPr>
        <w:t>#5#</w:t>
      </w:r>
      <w:r>
        <w:rPr>
          <w:rFonts w:eastAsia="Times New Roman"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16/03/2010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הנאשמים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יש צורך לקבל את חוות דעת הממונה לגבי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מנת שנדע היכן הוא מוצב לעבודות השירות</w:t>
      </w:r>
      <w:r>
        <w:rPr>
          <w:rtl w:val="true"/>
        </w:rPr>
        <w:t xml:space="preserve">. </w:t>
      </w:r>
      <w:r>
        <w:rPr>
          <w:rtl w:val="true"/>
        </w:rPr>
        <w:t>בטלפון נאמר לי כי חוות הדעת לגביו היא חיובית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מבקש עיכוב ביצוע גזר הדין לגבי שני 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לאור העובדה כי לגבי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טרם הגיעה חוות דעת הממונה על עבודות שירות</w:t>
      </w:r>
      <w:r>
        <w:rPr>
          <w:rtl w:val="true"/>
        </w:rPr>
        <w:t xml:space="preserve">, </w:t>
      </w:r>
      <w:r>
        <w:rPr>
          <w:rtl w:val="true"/>
        </w:rPr>
        <w:t>הרי שהנאשם לא יתחיל את ביצוע עבודות 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 xml:space="preserve">אני דוחה לקבלת חוות דעת ממונה בעניינו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מחמוד מחג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ליום </w:t>
      </w:r>
      <w:r>
        <w:rPr>
          <w:b/>
          <w:bCs/>
          <w:u w:val="single"/>
        </w:rPr>
        <w:t>13/4/10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בשעה </w:t>
      </w:r>
      <w:r>
        <w:rPr>
          <w:b/>
          <w:bCs/>
          <w:u w:val="single"/>
        </w:rPr>
        <w:t>09:00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 למועד הנ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 ישלח הממונה על עבודות שירות חוות דעת מתאימה 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תפנה לעבודות שירות ותעביר לו החלטה זו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עוד 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בעניינו של 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ניתן בזה עיכוב ביצוע גזר הדין עד ליום </w:t>
      </w:r>
      <w:r>
        <w:rPr/>
        <w:t>13/4/10</w:t>
      </w:r>
      <w:r>
        <w:rPr>
          <w:rtl w:val="true"/>
        </w:rPr>
        <w:t xml:space="preserve">, </w:t>
      </w:r>
      <w:r>
        <w:rPr>
          <w:rtl w:val="true"/>
        </w:rPr>
        <w:t xml:space="preserve">מועד בו יינתן גזר הדין גם לגבי הנאשם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למען הסר ספק </w:t>
      </w:r>
      <w:r>
        <w:rPr>
          <w:rtl w:val="true"/>
        </w:rPr>
        <w:t xml:space="preserve">- </w:t>
      </w:r>
      <w:r>
        <w:rPr>
          <w:rtl w:val="true"/>
        </w:rPr>
        <w:t xml:space="preserve">בשלב זה לא יתייצב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לביצוע עבודות השירות כפי שנקבע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16/03/2010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גינות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ריקי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אלקובי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/Users/liorb/Downloads/study2025-p2/SH-08-05-7054-95.doc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7054-05-08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מחאגנה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case/659350" TargetMode="External"/><Relationship Id="rId9" Type="http://schemas.openxmlformats.org/officeDocument/2006/relationships/hyperlink" Target="http://www.nevo.co.il/case/4772529" TargetMode="External"/><Relationship Id="rId10" Type="http://schemas.openxmlformats.org/officeDocument/2006/relationships/hyperlink" Target="http://www.nevo.co.il/case/6182877" TargetMode="External"/><Relationship Id="rId11" Type="http://schemas.openxmlformats.org/officeDocument/2006/relationships/hyperlink" Target="http://www.nevo.co.il/case/5683350" TargetMode="External"/><Relationship Id="rId12" Type="http://schemas.openxmlformats.org/officeDocument/2006/relationships/hyperlink" Target="http://www.nevo.co.il/case/5499066" TargetMode="External"/><Relationship Id="rId13" Type="http://schemas.openxmlformats.org/officeDocument/2006/relationships/hyperlink" Target="http://www.nevo.co.il/case/4687681" TargetMode="External"/><Relationship Id="rId14" Type="http://schemas.openxmlformats.org/officeDocument/2006/relationships/hyperlink" Target="http://www.nevo.co.il/case/2523707" TargetMode="External"/><Relationship Id="rId15" Type="http://schemas.openxmlformats.org/officeDocument/2006/relationships/hyperlink" Target="http://www.nevo.co.il/case/540835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2016-07-04T13:07:00Z</dcterms:created>
  <dc:creator> </dc:creator>
  <dc:description/>
  <cp:keywords/>
  <dc:language>en-IL</dc:language>
  <cp:lastModifiedBy>hofit</cp:lastModifiedBy>
  <dcterms:modified xsi:type="dcterms:W3CDTF">2016-07-04T13:07:00Z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מחאגנה;אבראהים מחאגנה כוס</vt:lpwstr>
  </property>
  <property fmtid="{D5CDD505-2E9C-101B-9397-08002B2CF9AE}" pid="4" name="CASESLISTTMP1">
    <vt:lpwstr>659350;4772529;6182877;5683350;5499066;4687681;2523707;540835</vt:lpwstr>
  </property>
  <property fmtid="{D5CDD505-2E9C-101B-9397-08002B2CF9AE}" pid="5" name="CITY">
    <vt:lpwstr>חד'</vt:lpwstr>
  </property>
  <property fmtid="{D5CDD505-2E9C-101B-9397-08002B2CF9AE}" pid="6" name="DATE">
    <vt:lpwstr>20100316</vt:lpwstr>
  </property>
  <property fmtid="{D5CDD505-2E9C-101B-9397-08002B2CF9AE}" pid="7" name="ISABSTRACT">
    <vt:lpwstr>Y</vt:lpwstr>
  </property>
  <property fmtid="{D5CDD505-2E9C-101B-9397-08002B2CF9AE}" pid="8" name="JUDGE">
    <vt:lpwstr>משה גינות</vt:lpwstr>
  </property>
  <property fmtid="{D5CDD505-2E9C-101B-9397-08002B2CF9AE}" pid="9" name="LAWLISTTMP1">
    <vt:lpwstr>70301/144.a;275</vt:lpwstr>
  </property>
  <property fmtid="{D5CDD505-2E9C-101B-9397-08002B2CF9AE}" pid="10" name="LAWYER">
    <vt:lpwstr>גלעד תלמי;מג'אדלה</vt:lpwstr>
  </property>
  <property fmtid="{D5CDD505-2E9C-101B-9397-08002B2CF9AE}" pid="11" name="NEWPARTA">
    <vt:lpwstr>7054</vt:lpwstr>
  </property>
  <property fmtid="{D5CDD505-2E9C-101B-9397-08002B2CF9AE}" pid="12" name="NEWPARTB">
    <vt:lpwstr>05</vt:lpwstr>
  </property>
  <property fmtid="{D5CDD505-2E9C-101B-9397-08002B2CF9AE}" pid="13" name="NEWPARTC">
    <vt:lpwstr>08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08 05 7054 95 htm</vt:lpwstr>
  </property>
  <property fmtid="{D5CDD505-2E9C-101B-9397-08002B2CF9AE}" pid="17" name="TYPE">
    <vt:lpwstr>3</vt:lpwstr>
  </property>
  <property fmtid="{D5CDD505-2E9C-101B-9397-08002B2CF9AE}" pid="18" name="TYPE_ABS_DATE">
    <vt:lpwstr>380020100316</vt:lpwstr>
  </property>
  <property fmtid="{D5CDD505-2E9C-101B-9397-08002B2CF9AE}" pid="19" name="TYPE_N_DATE">
    <vt:lpwstr>38020100316</vt:lpwstr>
  </property>
  <property fmtid="{D5CDD505-2E9C-101B-9397-08002B2CF9AE}" pid="20" name="WORDNUMPAGES">
    <vt:lpwstr>5</vt:lpwstr>
  </property>
</Properties>
</file>