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38"/>
        <w:gridCol w:w="239"/>
        <w:gridCol w:w="2045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623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70552-06-20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זתוניה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2023</w:t>
            </w:r>
          </w:p>
        </w:tc>
      </w:tr>
    </w:tbl>
    <w:p>
      <w:pPr>
        <w:pStyle w:val="Header"/>
        <w:tabs>
          <w:tab w:val="left" w:pos="2785" w:leader="none"/>
          <w:tab w:val="center" w:pos="4153" w:leader="none"/>
          <w:tab w:val="right" w:pos="8306" w:leader="none"/>
        </w:tabs>
        <w:ind w:end="0"/>
        <w:jc w:val="start"/>
        <w:rPr>
          <w:rFonts w:ascii="Tahoma" w:hAnsi="Tahoma" w:cs="Tahoma"/>
          <w:b/>
          <w:bCs/>
          <w:color w:val="000080"/>
          <w:sz w:val="2"/>
          <w:szCs w:val="2"/>
        </w:rPr>
      </w:pPr>
      <w:r>
        <w:rPr>
          <w:rFonts w:cs="Tahoma" w:ascii="Tahoma" w:hAnsi="Tahoma"/>
          <w:b/>
          <w:bCs/>
          <w:color w:val="000080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36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עלאא מסארווה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חליל זתוניה</w:t>
            </w:r>
            <w:r>
              <w:rPr>
                <w:rFonts w:ascii="Times New Roman" w:hAnsi="Times New Roman"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מוטי חבה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שירלי אקרמן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פולינה סורין</w:t>
      </w:r>
    </w:p>
    <w:p>
      <w:pPr>
        <w:pStyle w:val="Normal"/>
        <w:ind w:end="0"/>
        <w:jc w:val="both"/>
        <w:rPr/>
      </w:pPr>
      <w:r>
        <w:rPr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ListParagraph"/>
        <w:autoSpaceDE w:val="false"/>
        <w:spacing w:lineRule="auto" w:line="360"/>
        <w:ind w:start="0" w:end="0"/>
        <w:jc w:val="both"/>
        <w:rPr/>
      </w:pPr>
      <w:bookmarkStart w:id="10" w:name="ABSTRACT_START"/>
      <w:bookmarkEnd w:id="10"/>
      <w:r>
        <w:rPr>
          <w:rtl w:val="true"/>
        </w:rPr>
        <w:t>הנאשם הורשע על פי הודאתו בעובדות כתב האישום מתוקן</w:t>
      </w:r>
      <w:r>
        <w:rPr>
          <w:rtl w:val="true"/>
        </w:rPr>
        <w:t xml:space="preserve">, </w:t>
      </w:r>
      <w:r>
        <w:rPr>
          <w:rtl w:val="true"/>
        </w:rPr>
        <w:t>בתיק שבכותרת ובכתב האישום בתיק אותו ראה לצרף ובמסגרת הסכמה דיונית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autoSpaceDE w:val="false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תיק עיקרי </w:t>
      </w:r>
      <w:r>
        <w:rPr>
          <w:rtl w:val="true"/>
        </w:rPr>
        <w:t xml:space="preserve">- </w:t>
      </w:r>
      <w:r>
        <w:rPr>
          <w:rtl w:val="true"/>
        </w:rPr>
        <w:t>בהתאם לעובדות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28.8.19</w:t>
      </w:r>
      <w:r>
        <w:rPr>
          <w:rtl w:val="true"/>
        </w:rPr>
        <w:t xml:space="preserve"> </w:t>
      </w:r>
      <w:r>
        <w:rPr>
          <w:rtl w:val="true"/>
        </w:rPr>
        <w:t xml:space="preserve">החזיק הנאשם על גופו סם מסוכן מסוג קוקאין במשקל כולל של </w:t>
      </w:r>
      <w:r>
        <w:rPr/>
        <w:t>6.2365</w:t>
      </w:r>
      <w:r>
        <w:rPr>
          <w:rtl w:val="true"/>
        </w:rPr>
        <w:t xml:space="preserve"> </w:t>
      </w:r>
      <w:r>
        <w:rPr>
          <w:rtl w:val="true"/>
        </w:rPr>
        <w:t>נטו גרם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</w:t>
      </w:r>
      <w:r>
        <w:rPr/>
        <w:t>2,190</w:t>
      </w:r>
      <w:r>
        <w:rPr>
          <w:rtl w:val="true"/>
        </w:rPr>
        <w:t xml:space="preserve"> ₪ </w:t>
      </w:r>
      <w:r>
        <w:rPr>
          <w:rtl w:val="true"/>
        </w:rPr>
        <w:t>במזומן 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טלפונים ניידים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בעבירה של </w:t>
      </w:r>
      <w:r>
        <w:rPr>
          <w:b/>
          <w:b/>
          <w:bCs/>
          <w:rtl w:val="true"/>
        </w:rPr>
        <w:t xml:space="preserve">החזקת סמים שלא לצריכה עצמית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 xml:space="preserve">סעיף 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9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/>
        <w:ind w:start="0" w:end="0"/>
        <w:jc w:val="both"/>
        <w:rPr/>
      </w:pP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17226-09-19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20.5.19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23:02</w:t>
      </w:r>
      <w:r>
        <w:rPr>
          <w:rtl w:val="true"/>
        </w:rPr>
        <w:t xml:space="preserve"> </w:t>
      </w:r>
      <w:r>
        <w:rPr>
          <w:rtl w:val="true"/>
        </w:rPr>
        <w:t>החזיק הנאשם ברכבו שתי סכינים מתקבעות</w:t>
      </w:r>
      <w:r>
        <w:rPr>
          <w:rtl w:val="true"/>
        </w:rPr>
        <w:t xml:space="preserve">. </w:t>
      </w:r>
    </w:p>
    <w:p>
      <w:pPr>
        <w:pStyle w:val="ListParagraph"/>
        <w:autoSpaceDE w:val="false"/>
        <w:spacing w:lineRule="auto" w:line="360"/>
        <w:ind w:start="0" w:end="0"/>
        <w:jc w:val="both"/>
        <w:rPr/>
      </w:pP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בעבירה של </w:t>
      </w:r>
      <w:r>
        <w:rPr>
          <w:b/>
          <w:b/>
          <w:bCs/>
          <w:rtl w:val="true"/>
        </w:rPr>
        <w:t>החזקת סכין שלא כדין</w:t>
      </w:r>
      <w:r>
        <w:rPr>
          <w:rtl w:val="true"/>
        </w:rPr>
        <w:t xml:space="preserve"> לפי </w:t>
      </w:r>
      <w:hyperlink r:id="rId1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הסכמות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להסכמת הצדדים</w:t>
      </w:r>
      <w:r>
        <w:rPr>
          <w:rtl w:val="true"/>
        </w:rPr>
        <w:t xml:space="preserve">, </w:t>
      </w:r>
      <w:r>
        <w:rPr>
          <w:rtl w:val="true"/>
        </w:rPr>
        <w:t>עניינו של הנאשם הופנה לשירות המבחן והצדדים ישוחחו לאחר קבלתו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באשר לתיק הצירוף בלבד</w:t>
      </w:r>
      <w:r>
        <w:rPr>
          <w:rtl w:val="true"/>
        </w:rPr>
        <w:t xml:space="preserve">, </w:t>
      </w:r>
      <w:r>
        <w:rPr>
          <w:rtl w:val="true"/>
        </w:rPr>
        <w:t>עמדת התביעה למאסר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מתסקיר שירות המבחן מיום </w:t>
      </w:r>
      <w:r>
        <w:rPr>
          <w:u w:val="single"/>
        </w:rPr>
        <w:t>07.09.22</w:t>
      </w:r>
      <w:r>
        <w:rPr>
          <w:rtl w:val="true"/>
        </w:rPr>
        <w:t xml:space="preserve">, </w:t>
      </w:r>
      <w:r>
        <w:rPr>
          <w:rtl w:val="true"/>
        </w:rPr>
        <w:t xml:space="preserve">עולה כי הנאשם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ללא עבר פלילי ותיקי מב</w:t>
      </w:r>
      <w:r>
        <w:rPr>
          <w:rtl w:val="true"/>
        </w:rPr>
        <w:t>"</w:t>
      </w:r>
      <w:r>
        <w:rPr>
          <w:rtl w:val="true"/>
        </w:rPr>
        <w:t>ד נוספים</w:t>
      </w:r>
      <w:r>
        <w:rPr>
          <w:rtl w:val="true"/>
        </w:rPr>
        <w:t xml:space="preserve">. </w:t>
      </w:r>
      <w:r>
        <w:rPr>
          <w:rtl w:val="true"/>
        </w:rPr>
        <w:t>הנאשם קביל אחריות על מעשיו</w:t>
      </w:r>
      <w:r>
        <w:rPr>
          <w:rtl w:val="true"/>
        </w:rPr>
        <w:t xml:space="preserve">, </w:t>
      </w:r>
      <w:r>
        <w:rPr>
          <w:rtl w:val="true"/>
        </w:rPr>
        <w:t>וביטא חרטה על התנהלותו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מכיר בבעייתיות השימוש בסמים ופועל על מנת לקדם זכאותו לרישיון לקנאביס רפואי</w:t>
      </w:r>
      <w:r>
        <w:rPr>
          <w:rtl w:val="true"/>
        </w:rPr>
        <w:t xml:space="preserve">. </w:t>
      </w:r>
      <w:r>
        <w:rPr>
          <w:rtl w:val="true"/>
        </w:rPr>
        <w:t>הנאשם זומן 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בדיקות שתן</w:t>
      </w:r>
      <w:r>
        <w:rPr>
          <w:rtl w:val="true"/>
        </w:rPr>
        <w:t xml:space="preserve">, </w:t>
      </w:r>
      <w:r>
        <w:rPr>
          <w:rtl w:val="true"/>
        </w:rPr>
        <w:t>מתוכן הגיע 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ומהבדיקה היחידה שמסר</w:t>
      </w:r>
      <w:r>
        <w:rPr>
          <w:rtl w:val="true"/>
        </w:rPr>
        <w:t xml:space="preserve">, </w:t>
      </w:r>
      <w:r>
        <w:rPr>
          <w:rtl w:val="true"/>
        </w:rPr>
        <w:t>נמצאו שרידי סם מסוג קנביס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לא הגיע לשיחות שנקבעו לו עם שירות המבחן וקיים סיכון להישנות התנהגות שולית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המלצה שיקומית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מתסקיר שירות המבחן מיום </w:t>
      </w:r>
      <w:r>
        <w:rPr>
          <w:u w:val="single"/>
        </w:rPr>
        <w:t>1.1.23</w:t>
      </w:r>
      <w:r>
        <w:rPr>
          <w:rtl w:val="true"/>
        </w:rPr>
        <w:t xml:space="preserve">, </w:t>
      </w:r>
      <w:r>
        <w:rPr>
          <w:rtl w:val="true"/>
        </w:rPr>
        <w:t>עולה כי הנאשם ממשיך לא לשתף פעולה עם שירות המבחן</w:t>
      </w:r>
      <w:r>
        <w:rPr>
          <w:rtl w:val="true"/>
        </w:rPr>
        <w:t xml:space="preserve">, </w:t>
      </w:r>
      <w:r>
        <w:rPr>
          <w:rtl w:val="true"/>
        </w:rPr>
        <w:t>לא מגיע לבדיקות ההתאמה ולבדיקות השתן</w:t>
      </w:r>
      <w:r>
        <w:rPr>
          <w:rtl w:val="true"/>
        </w:rPr>
        <w:t xml:space="preserve">. </w:t>
      </w:r>
      <w:r>
        <w:rPr>
          <w:rtl w:val="true"/>
        </w:rPr>
        <w:t>שירות המבחן עודנו סבור כי קיים סיכון להישנות התנהגות שולית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בא בהמלצה שיקומית בעניינו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מתסקיר שירות המבחן מיום </w:t>
      </w:r>
      <w:r>
        <w:rPr>
          <w:u w:val="single"/>
        </w:rPr>
        <w:t>25.4.23</w:t>
      </w:r>
      <w:r>
        <w:rPr>
          <w:rtl w:val="true"/>
        </w:rPr>
        <w:t xml:space="preserve">, </w:t>
      </w:r>
      <w:r>
        <w:rPr>
          <w:rtl w:val="true"/>
        </w:rPr>
        <w:t>עולה כי הנאשם עודנו מסרב לשתף פעולה עם שירות המבחן ולהשתלב בהליך טיפולי</w:t>
      </w:r>
      <w:r>
        <w:rPr>
          <w:rtl w:val="true"/>
        </w:rPr>
        <w:t xml:space="preserve">. </w:t>
      </w:r>
      <w:r>
        <w:rPr>
          <w:rtl w:val="true"/>
        </w:rPr>
        <w:t>במהלך תקופת הקשר של הנאשם עם שירות המבחן</w:t>
      </w:r>
      <w:r>
        <w:rPr>
          <w:rtl w:val="true"/>
        </w:rPr>
        <w:t xml:space="preserve">, </w:t>
      </w:r>
      <w:r>
        <w:rPr>
          <w:rtl w:val="true"/>
        </w:rPr>
        <w:t>זומן 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בדיקות שתן אשר לכולן לא התייצב</w:t>
      </w:r>
      <w:r>
        <w:rPr>
          <w:rtl w:val="true"/>
        </w:rPr>
        <w:t xml:space="preserve">. </w:t>
      </w:r>
      <w:r>
        <w:rPr>
          <w:rtl w:val="true"/>
        </w:rPr>
        <w:t>עוד שירות המבחן מדווח כי הנאשם חזר לשימוש אינטנסיבי בסמים ברמה היומיומית</w:t>
      </w:r>
      <w:r>
        <w:rPr>
          <w:rtl w:val="true"/>
        </w:rPr>
        <w:t xml:space="preserve">. </w:t>
      </w:r>
      <w:r>
        <w:rPr>
          <w:rtl w:val="true"/>
        </w:rPr>
        <w:t>כנגד הנאשם לא נפתחו תיקי מב</w:t>
      </w:r>
      <w:r>
        <w:rPr>
          <w:rtl w:val="true"/>
        </w:rPr>
        <w:t>"</w:t>
      </w:r>
      <w:r>
        <w:rPr>
          <w:rtl w:val="true"/>
        </w:rPr>
        <w:t>ד נוספים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שירות המבחן לא בא בהמלצה שיקומית בעניינו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autoSpaceDE w:val="false"/>
        <w:spacing w:lineRule="auto" w:line="360"/>
        <w:ind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 דעת ממונה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  <w:t>הנאשם נמצא מתאים לביצוע עבודות שירות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b/>
          <w:b/>
          <w:bCs/>
          <w:u w:val="single"/>
          <w:rtl w:val="true"/>
        </w:rPr>
        <w:t>דיון והכרעה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מתחם העונש 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 לקבוע</w:t>
      </w:r>
      <w:r>
        <w:rPr>
          <w:rtl w:val="true"/>
        </w:rPr>
        <w:t xml:space="preserve">, </w:t>
      </w:r>
      <w:r>
        <w:rPr>
          <w:rtl w:val="true"/>
        </w:rPr>
        <w:t>בטרם קביעת העונש המתאים</w:t>
      </w:r>
      <w:r>
        <w:rPr>
          <w:rtl w:val="true"/>
        </w:rPr>
        <w:t>, (</w:t>
      </w:r>
      <w:r>
        <w:rPr>
          <w:rtl w:val="true"/>
        </w:rPr>
        <w:t>בגין כל אחד מהאירועים</w:t>
      </w:r>
      <w:r>
        <w:rPr>
          <w:rtl w:val="true"/>
        </w:rPr>
        <w:t xml:space="preserve">), </w:t>
      </w:r>
      <w:r>
        <w:rPr>
          <w:rtl w:val="true"/>
        </w:rPr>
        <w:t>מתחם עונש הולם למעשה העבירה בהתאם לעקרון ההלימה ותוך התחשבות במידת הפגיעה בערך החברתי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 ובנסיבות הקשורות בביצוע 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הערכים המוגנים הם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תרומתו של בית המשפט למאבק בנגע הסם </w:t>
      </w:r>
      <w:r>
        <w:rPr>
          <w:rtl w:val="true"/>
        </w:rPr>
        <w:t>וכן בריאותו ושלומו הפיזי והנפשי של הציבור מפני נזקים הנגרמים כתוצאה משימוש בסמים והשפעתם הממכרת וההרסנית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בחינת מדיניות הענישה הנוהגת מעלה כי במקרים דומים הוטלו על נאשמים עונשים</w:t>
      </w:r>
      <w:r>
        <w:rPr>
          <w:rtl w:val="true"/>
        </w:rPr>
        <w:t xml:space="preserve">, </w:t>
      </w:r>
      <w:r>
        <w:rPr>
          <w:rtl w:val="true"/>
        </w:rPr>
        <w:t>החל ממספר חודשי מאסר שיכול שירוצו בעבודות שירות ועד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למעין הדיוק</w:t>
      </w:r>
      <w:r>
        <w:rPr>
          <w:rtl w:val="true"/>
        </w:rPr>
        <w:t xml:space="preserve">, </w:t>
      </w:r>
      <w:r>
        <w:rPr>
          <w:rtl w:val="true"/>
        </w:rPr>
        <w:t xml:space="preserve">יאמר כי הזרם העיקרי בפסיקה מציג מתחם עונש שנע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ועד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 אף שההגנה צודקת שניתן להקיש ממתחמי עונש לגבי כמויות גדולות יותר על המתחם</w:t>
      </w:r>
      <w:r>
        <w:rPr>
          <w:rtl w:val="true"/>
        </w:rPr>
        <w:t xml:space="preserve">, </w:t>
      </w:r>
      <w:r>
        <w:rPr>
          <w:rtl w:val="true"/>
        </w:rPr>
        <w:t>ואולי ניתן לאתר ענישה שנופלת 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אך לא בהרבה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מנת לבסס את הקביעות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אפנה לפסיקה</w:t>
      </w:r>
      <w:r>
        <w:rPr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u w:val="single"/>
          <w:rtl w:val="true"/>
          <w:lang w:eastAsia="he-IL"/>
        </w:rPr>
        <w:t xml:space="preserve">אשר למדיניות הענישה בעבירת </w:t>
      </w:r>
      <w:r>
        <w:rPr>
          <w:b/>
          <w:b/>
          <w:bCs/>
          <w:u w:val="single"/>
          <w:rtl w:val="true"/>
          <w:lang w:eastAsia="he-IL"/>
        </w:rPr>
        <w:t>החזקת סמים שלא לצריכה עצמית</w:t>
      </w:r>
      <w:r>
        <w:rPr>
          <w:rtl w:val="true"/>
          <w:lang w:eastAsia="he-IL"/>
        </w:rPr>
        <w:t xml:space="preserve"> –</w:t>
      </w:r>
    </w:p>
    <w:p>
      <w:pPr>
        <w:pStyle w:val="Normal"/>
        <w:numPr>
          <w:ilvl w:val="0"/>
          <w:numId w:val="13"/>
        </w:numPr>
        <w:spacing w:lineRule="auto" w:line="360"/>
        <w:ind w:hanging="360" w:start="72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29484-12-19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פינקלשטיין </w:t>
      </w:r>
      <w:r>
        <w:rPr>
          <w:rtl w:val="true"/>
        </w:rPr>
        <w:t>(</w:t>
      </w:r>
      <w:r>
        <w:rPr/>
        <w:t>25.2.20</w:t>
      </w:r>
      <w:r>
        <w:rPr>
          <w:rtl w:val="true"/>
        </w:rPr>
        <w:t xml:space="preserve">)- </w:t>
      </w: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 xml:space="preserve">י הודאתו </w:t>
      </w:r>
      <w:r>
        <w:rPr>
          <w:u w:val="single"/>
          <w:rtl w:val="true"/>
        </w:rPr>
        <w:t>בביצוע של שתי עבירות סחר בסמים מסוכנים</w:t>
      </w:r>
      <w:r>
        <w:rPr>
          <w:u w:val="single"/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23.11.17</w:t>
      </w:r>
      <w:r>
        <w:rPr>
          <w:rtl w:val="true"/>
        </w:rPr>
        <w:t xml:space="preserve">, </w:t>
      </w:r>
      <w:r>
        <w:rPr>
          <w:rtl w:val="true"/>
        </w:rPr>
        <w:t xml:space="preserve">מסר הנאשם ליואב גלבוע </w:t>
      </w:r>
      <w:r>
        <w:rPr>
          <w:u w:val="single"/>
          <w:rtl w:val="true"/>
        </w:rPr>
        <w:t>סם מסוכן מסוג קוקאין</w:t>
      </w:r>
      <w:r>
        <w:rPr>
          <w:rtl w:val="true"/>
        </w:rPr>
        <w:t xml:space="preserve"> במשקל של </w:t>
      </w:r>
      <w:r>
        <w:rPr/>
        <w:t>4.8860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במפגש שתואם בין השניים טלפונית</w:t>
      </w:r>
      <w:r>
        <w:rPr>
          <w:rtl w:val="true"/>
        </w:rPr>
        <w:t xml:space="preserve">. </w:t>
      </w:r>
      <w:r>
        <w:rPr>
          <w:rtl w:val="true"/>
        </w:rPr>
        <w:t>מאחר וברשות יואב לא היה כסף מזומן לצורך תשלום</w:t>
      </w:r>
      <w:r>
        <w:rPr>
          <w:rtl w:val="true"/>
        </w:rPr>
        <w:t xml:space="preserve">, </w:t>
      </w:r>
      <w:r>
        <w:rPr>
          <w:rtl w:val="true"/>
        </w:rPr>
        <w:t>השאיר ברשות הנאשם כרטיס אשראי השייך לו</w:t>
      </w:r>
      <w:r>
        <w:rPr>
          <w:rtl w:val="true"/>
        </w:rPr>
        <w:t xml:space="preserve">, </w:t>
      </w:r>
      <w:r>
        <w:rPr>
          <w:rtl w:val="true"/>
        </w:rPr>
        <w:t>כעירבון עד לתשלום הכסף עבור הסם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21.11.17</w:t>
      </w:r>
      <w:r>
        <w:rPr>
          <w:rtl w:val="true"/>
        </w:rPr>
        <w:t xml:space="preserve">, </w:t>
      </w:r>
      <w:r>
        <w:rPr>
          <w:rtl w:val="true"/>
        </w:rPr>
        <w:t xml:space="preserve">מסר הנאשם ליואב גלבוע </w:t>
      </w:r>
      <w:r>
        <w:rPr>
          <w:u w:val="single"/>
          <w:rtl w:val="true"/>
        </w:rPr>
        <w:t>סם מסוכן מסוג קוקאין</w:t>
      </w:r>
      <w:r>
        <w:rPr>
          <w:rtl w:val="true"/>
        </w:rPr>
        <w:t xml:space="preserve"> במשקל של כ –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במפגש שתואם בין השניים טלפונית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בית משפט קמא קבע כי מתחם העונש ההולם נע בין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בית המשפט סטה ממתחם הענישה משיקולי שיקום וגזר על הנאשם</w:t>
      </w:r>
      <w:r>
        <w:rPr>
          <w:rtl w:val="true"/>
        </w:rPr>
        <w:t xml:space="preserve">, </w:t>
      </w:r>
      <w:r>
        <w:rPr>
          <w:rtl w:val="true"/>
        </w:rPr>
        <w:t>גרוש ואב 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לחובתו עבר פלילי מכביד בין היתר בתחום הרלוונטי</w:t>
      </w:r>
      <w:r>
        <w:rPr>
          <w:rtl w:val="true"/>
        </w:rPr>
        <w:t xml:space="preserve">,  </w:t>
      </w:r>
      <w:r>
        <w:rPr>
          <w:rtl w:val="true"/>
        </w:rPr>
        <w:t>שנטל אחריות על מעשיו</w:t>
      </w:r>
      <w:r>
        <w:rPr>
          <w:rtl w:val="true"/>
        </w:rPr>
        <w:t xml:space="preserve">, </w:t>
      </w:r>
      <w:r>
        <w:rPr>
          <w:rtl w:val="true"/>
        </w:rPr>
        <w:t>תוך התייחסות לנסיבות חייו</w:t>
      </w:r>
      <w:r>
        <w:rPr>
          <w:rtl w:val="true"/>
        </w:rPr>
        <w:t xml:space="preserve">, </w:t>
      </w:r>
      <w:r>
        <w:rPr>
          <w:rtl w:val="true"/>
        </w:rPr>
        <w:t>ההליך הטיפולי שעבר</w:t>
      </w:r>
      <w:r>
        <w:rPr>
          <w:rtl w:val="true"/>
        </w:rPr>
        <w:t xml:space="preserve">, </w:t>
      </w:r>
      <w:r>
        <w:rPr>
          <w:rtl w:val="true"/>
        </w:rPr>
        <w:t>שהייתו במעצר ולאחר מכן בתנאים מגבילים</w:t>
      </w:r>
      <w:r>
        <w:rPr>
          <w:rtl w:val="true"/>
        </w:rPr>
        <w:t xml:space="preserve">, </w:t>
      </w:r>
      <w:r>
        <w:rPr>
          <w:rtl w:val="true"/>
        </w:rPr>
        <w:t>עונש של צו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325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 xml:space="preserve">צו מבחן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 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פסילת רישיון נהיגה</w:t>
      </w:r>
      <w:r>
        <w:rPr>
          <w:rtl w:val="true"/>
        </w:rPr>
        <w:t xml:space="preserve">, </w:t>
      </w:r>
      <w:r>
        <w:rPr>
          <w:rtl w:val="true"/>
        </w:rPr>
        <w:t>פסילת רישיון על תנאי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והתחייבות כספית על סך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הערעור שהוגש לבית המשפט המחוזי 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13"/>
        </w:numPr>
        <w:spacing w:lineRule="auto" w:line="360"/>
        <w:ind w:hanging="360" w:start="72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39400-05-15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פרקליטות מחוז תל אביב פלילי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נועם לב </w:t>
      </w:r>
      <w:r>
        <w:rPr>
          <w:rtl w:val="true"/>
        </w:rPr>
        <w:t>(</w:t>
      </w:r>
      <w:r>
        <w:rPr/>
        <w:t>5.11.17</w:t>
      </w:r>
      <w:r>
        <w:rPr>
          <w:rtl w:val="true"/>
        </w:rPr>
        <w:t xml:space="preserve">)-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בשתי עבירות של סחר בסם מסוכן</w:t>
      </w:r>
      <w:r>
        <w:rPr>
          <w:rtl w:val="true"/>
        </w:rPr>
        <w:t xml:space="preserve">. </w:t>
      </w:r>
      <w:r>
        <w:rPr>
          <w:rtl w:val="true"/>
        </w:rPr>
        <w:t>מדובר בתיק אחד מתוך פרשה</w:t>
      </w:r>
      <w:r>
        <w:rPr>
          <w:rtl w:val="true"/>
        </w:rPr>
        <w:t xml:space="preserve">, </w:t>
      </w:r>
      <w:r>
        <w:rPr>
          <w:rtl w:val="true"/>
        </w:rPr>
        <w:t>במסגרתה הופעל סוכן משטרתי</w:t>
      </w:r>
      <w:r>
        <w:rPr>
          <w:rtl w:val="true"/>
        </w:rPr>
        <w:t xml:space="preserve">. </w:t>
      </w:r>
      <w:r>
        <w:rPr>
          <w:rtl w:val="true"/>
        </w:rPr>
        <w:t>הסוכן רכש בהוראת משטרת ישראל ובכספה</w:t>
      </w:r>
      <w:r>
        <w:rPr>
          <w:rtl w:val="true"/>
        </w:rPr>
        <w:t xml:space="preserve">, </w:t>
      </w:r>
      <w:r>
        <w:rPr>
          <w:rtl w:val="true"/>
        </w:rPr>
        <w:t>סמים מסוכנים בעבור סכומי כסף שונים</w:t>
      </w:r>
      <w:r>
        <w:rPr>
          <w:rtl w:val="true"/>
        </w:rPr>
        <w:t xml:space="preserve">, </w:t>
      </w:r>
      <w:r>
        <w:rPr>
          <w:rtl w:val="true"/>
        </w:rPr>
        <w:t xml:space="preserve">והכל בעסקאות שתואמו מראש ובוצעו עם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ונאשם נוסף</w:t>
      </w:r>
      <w:r>
        <w:rPr>
          <w:rtl w:val="true"/>
        </w:rPr>
        <w:t xml:space="preserve">, </w:t>
      </w:r>
      <w:r>
        <w:rPr>
          <w:rtl w:val="true"/>
        </w:rPr>
        <w:t xml:space="preserve">ערן מרזוק שהנו גיסו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 גם כנגדו הוגש כתב האישום במסגרת תיק זה</w:t>
      </w:r>
      <w:r>
        <w:rPr>
          <w:rtl w:val="true"/>
        </w:rPr>
        <w:t xml:space="preserve">, </w:t>
      </w:r>
      <w:r>
        <w:rPr>
          <w:rtl w:val="true"/>
        </w:rPr>
        <w:t>ועניינו כבר הסתיים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 בשני המקרים</w:t>
      </w:r>
      <w:r>
        <w:rPr>
          <w:rtl w:val="true"/>
        </w:rPr>
        <w:t xml:space="preserve">, </w:t>
      </w:r>
      <w:r>
        <w:rPr>
          <w:rtl w:val="true"/>
        </w:rPr>
        <w:t>מכרו הנאשמים לסוכן סם מסוכן מסוג קוקאין</w:t>
      </w:r>
      <w:r>
        <w:rPr>
          <w:rtl w:val="true"/>
        </w:rPr>
        <w:t xml:space="preserve">, </w:t>
      </w:r>
      <w:r>
        <w:rPr>
          <w:rtl w:val="true"/>
        </w:rPr>
        <w:t xml:space="preserve">במקרה הראשון בכמות כוללת של </w:t>
      </w:r>
      <w:r>
        <w:rPr/>
        <w:t>1.7171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>מחולק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שקיות בתמורה לסך של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ובמקרה השני כמות כוללת של </w:t>
      </w:r>
      <w:r>
        <w:rPr/>
        <w:t>9.7752</w:t>
      </w:r>
      <w:r>
        <w:rPr>
          <w:rtl w:val="true"/>
        </w:rPr>
        <w:t xml:space="preserve"> </w:t>
      </w:r>
      <w:r>
        <w:rPr>
          <w:rtl w:val="true"/>
        </w:rPr>
        <w:t>גרם נטו תמורה ל</w:t>
      </w:r>
      <w:r>
        <w:rPr>
          <w:rtl w:val="true"/>
        </w:rPr>
        <w:t>-</w:t>
      </w:r>
      <w:r>
        <w:rPr/>
        <w:t>5,000</w:t>
      </w:r>
      <w:r>
        <w:rPr>
          <w:rtl w:val="true"/>
        </w:rPr>
        <w:t xml:space="preserve"> ₪. </w:t>
      </w:r>
      <w:r>
        <w:rPr>
          <w:b/>
          <w:b/>
          <w:bCs/>
          <w:rtl w:val="true"/>
        </w:rPr>
        <w:t xml:space="preserve">בית המשפט קבע כי מתחם העונש ההולם בגין האירוע הראשון נע בין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לריצוי בפועל לבין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לריצוי בפועל ומתחם העונש ההולם בגין האירוע השני נע בין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לריצוי בפועל לבין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בית המשפט סטה ממתחם הענישה משיקולי שיקום וגזר על הנאשם</w:t>
      </w:r>
      <w:r>
        <w:rPr>
          <w:rtl w:val="true"/>
        </w:rPr>
        <w:t xml:space="preserve">, </w:t>
      </w:r>
      <w:r>
        <w:rPr>
          <w:rtl w:val="true"/>
        </w:rPr>
        <w:t>שלחובתו הרשעה קודמת אחת בלבד שאינה מתחום הסמים</w:t>
      </w:r>
      <w:r>
        <w:rPr>
          <w:rtl w:val="true"/>
        </w:rPr>
        <w:t xml:space="preserve">, </w:t>
      </w:r>
      <w:r>
        <w:rPr>
          <w:rtl w:val="true"/>
        </w:rPr>
        <w:t>שהודה במעשיו ולקח עליהם אחריות</w:t>
      </w:r>
      <w:r>
        <w:rPr>
          <w:rtl w:val="true"/>
        </w:rPr>
        <w:t xml:space="preserve">, </w:t>
      </w:r>
      <w:r>
        <w:rPr>
          <w:rtl w:val="true"/>
        </w:rPr>
        <w:t>שחסך בזמן שיפוטי ניכר</w:t>
      </w:r>
      <w:r>
        <w:rPr>
          <w:rtl w:val="true"/>
        </w:rPr>
        <w:t xml:space="preserve">, </w:t>
      </w:r>
      <w:r>
        <w:rPr>
          <w:rtl w:val="true"/>
        </w:rPr>
        <w:t>תוך התחשבות בחלוף הזמן והעדר פתיחת תיקים חדשים</w:t>
      </w:r>
      <w:r>
        <w:rPr>
          <w:rtl w:val="true"/>
        </w:rPr>
        <w:t xml:space="preserve">, </w:t>
      </w:r>
      <w:r>
        <w:rPr>
          <w:rtl w:val="true"/>
        </w:rPr>
        <w:t>נסיבות חייו ומצבו הכלכלי הקשה</w:t>
      </w:r>
      <w:r>
        <w:rPr>
          <w:rtl w:val="true"/>
        </w:rPr>
        <w:t xml:space="preserve">, </w:t>
      </w:r>
      <w:r>
        <w:rPr>
          <w:rtl w:val="true"/>
        </w:rPr>
        <w:t xml:space="preserve">עונש של מאסר בדרך של עבודות שירות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 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וצו מבחן</w:t>
      </w:r>
      <w:r>
        <w:rPr>
          <w:rtl w:val="true"/>
        </w:rPr>
        <w:t>.</w:t>
      </w:r>
    </w:p>
    <w:p>
      <w:pPr>
        <w:pStyle w:val="Normal"/>
        <w:numPr>
          <w:ilvl w:val="0"/>
          <w:numId w:val="13"/>
        </w:numPr>
        <w:spacing w:lineRule="auto" w:line="360"/>
        <w:ind w:hanging="360"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47302-02-13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סאסי </w:t>
      </w:r>
      <w:r>
        <w:rPr>
          <w:rtl w:val="true"/>
        </w:rPr>
        <w:t>(</w:t>
      </w:r>
      <w:r>
        <w:rPr/>
        <w:t>4.3.14</w:t>
      </w:r>
      <w:r>
        <w:rPr>
          <w:rtl w:val="true"/>
        </w:rPr>
        <w:t xml:space="preserve">)- </w:t>
      </w:r>
      <w:r>
        <w:rPr>
          <w:u w:val="single"/>
          <w:rtl w:val="true"/>
        </w:rPr>
        <w:t>הנאשם הודה והורשע בשתי עבירות של סחר בסם מסוכן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u w:val="single"/>
          <w:rtl w:val="true"/>
        </w:rPr>
        <w:t xml:space="preserve">לאחר שבשתי הזדמנויות שונות בחודש אוגוסט </w:t>
      </w:r>
      <w:r>
        <w:rPr>
          <w:u w:val="single"/>
        </w:rPr>
        <w:t>2012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מכר לסוכן משטרתי קוקאין</w:t>
      </w:r>
      <w:r>
        <w:rPr>
          <w:rtl w:val="true"/>
        </w:rPr>
        <w:t xml:space="preserve">, </w:t>
      </w:r>
      <w:r>
        <w:rPr>
          <w:rtl w:val="true"/>
        </w:rPr>
        <w:t>בשתי הפעמים לאחר תיאום טלפוני</w:t>
      </w:r>
      <w:r>
        <w:rPr>
          <w:rtl w:val="true"/>
        </w:rPr>
        <w:t xml:space="preserve">: </w:t>
      </w:r>
      <w:r>
        <w:rPr>
          <w:rtl w:val="true"/>
        </w:rPr>
        <w:t xml:space="preserve">בתאריך </w:t>
      </w:r>
      <w:r>
        <w:rPr/>
        <w:t>2.8.12</w:t>
      </w:r>
      <w:r>
        <w:rPr>
          <w:rtl w:val="true"/>
        </w:rPr>
        <w:t xml:space="preserve"> </w:t>
      </w:r>
      <w:r>
        <w:rPr>
          <w:rtl w:val="true"/>
        </w:rPr>
        <w:t xml:space="preserve">מכר לסוכן חמש מנות קוקאין במשקל כולל של </w:t>
      </w:r>
      <w:r>
        <w:rPr/>
        <w:t>3.8996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 xml:space="preserve">ובתאריך </w:t>
      </w:r>
      <w:r>
        <w:rPr/>
        <w:t>9.8.12</w:t>
      </w:r>
      <w:r>
        <w:rPr>
          <w:rtl w:val="true"/>
        </w:rPr>
        <w:t xml:space="preserve"> </w:t>
      </w:r>
      <w:r>
        <w:rPr>
          <w:rtl w:val="true"/>
        </w:rPr>
        <w:t xml:space="preserve">מכר לסוכן חמש מנות נוספות במשקל כולל של </w:t>
      </w:r>
      <w:r>
        <w:rPr/>
        <w:t>3.7081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 xml:space="preserve">תמורת כל מכירה קיבל הנאשם סך של </w:t>
      </w:r>
      <w:r>
        <w:rPr/>
        <w:t>2,500</w:t>
      </w:r>
      <w:r>
        <w:rPr>
          <w:rtl w:val="true"/>
        </w:rPr>
        <w:t xml:space="preserve"> ₪.</w:t>
      </w:r>
      <w:r>
        <w:rPr>
          <w:b/>
          <w:b/>
          <w:bCs/>
          <w:rtl w:val="true"/>
        </w:rPr>
        <w:t>בית המשפט קבע כי מתחם העונש ההולם נע שבין שמונה חודשי מאסר לבין שמונה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 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כעונש עיקרי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גזר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גרוש ואב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שהביע חרטה על מעשיו</w:t>
      </w:r>
      <w:r>
        <w:rPr>
          <w:rtl w:val="true"/>
        </w:rPr>
        <w:t xml:space="preserve">, </w:t>
      </w:r>
      <w:r>
        <w:rPr>
          <w:rtl w:val="true"/>
        </w:rPr>
        <w:t>הודה במיוחס לו</w:t>
      </w:r>
      <w:r>
        <w:rPr>
          <w:rtl w:val="true"/>
        </w:rPr>
        <w:t xml:space="preserve">, </w:t>
      </w:r>
      <w:r>
        <w:rPr>
          <w:rtl w:val="true"/>
        </w:rPr>
        <w:t>תוך התייחסות לנסיבות חייו ונכונותו לטיפול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>לצד 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וחילוט</w:t>
      </w:r>
      <w:r>
        <w:rPr>
          <w:rtl w:val="true"/>
        </w:rPr>
        <w:t>.</w:t>
      </w:r>
    </w:p>
    <w:p>
      <w:pPr>
        <w:pStyle w:val="Normal"/>
        <w:numPr>
          <w:ilvl w:val="0"/>
          <w:numId w:val="13"/>
        </w:numPr>
        <w:spacing w:lineRule="auto" w:line="360"/>
        <w:ind w:hanging="360"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46328-02-18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טברי </w:t>
      </w:r>
      <w:r>
        <w:rPr>
          <w:rtl w:val="true"/>
        </w:rPr>
        <w:t>(</w:t>
      </w:r>
      <w:r>
        <w:rPr/>
        <w:t>15.5.19</w:t>
      </w:r>
      <w:r>
        <w:rPr>
          <w:rtl w:val="true"/>
        </w:rPr>
        <w:t xml:space="preserve">)- </w:t>
      </w:r>
      <w:r>
        <w:rPr>
          <w:rtl w:val="true"/>
        </w:rPr>
        <w:t xml:space="preserve">הנאשם הורשע בעקבות הודאתו </w:t>
      </w:r>
      <w:r>
        <w:rPr>
          <w:u w:val="single"/>
          <w:rtl w:val="true"/>
        </w:rPr>
        <w:t>בריבוי עבירות של סחר בסם מסוכן והחזקת סם מסוכן שלא לצריכה עצמית</w:t>
      </w:r>
      <w:r>
        <w:rPr>
          <w:rtl w:val="true"/>
        </w:rPr>
        <w:t xml:space="preserve">. </w:t>
      </w:r>
      <w:r>
        <w:rPr>
          <w:rtl w:val="true"/>
        </w:rPr>
        <w:t>על פי עובדות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15.1.18</w:t>
      </w:r>
      <w:r>
        <w:rPr>
          <w:rtl w:val="true"/>
        </w:rPr>
        <w:t xml:space="preserve"> </w:t>
      </w:r>
      <w:r>
        <w:rPr>
          <w:u w:val="single"/>
          <w:rtl w:val="true"/>
        </w:rPr>
        <w:t xml:space="preserve">מכר הנאשם ליצחק ביטון קוקאין במשקל </w:t>
      </w:r>
      <w:r>
        <w:rPr>
          <w:u w:val="single"/>
        </w:rPr>
        <w:t>0.42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גרם נטו והרואין במשקל </w:t>
      </w:r>
      <w:r>
        <w:rPr>
          <w:u w:val="single"/>
        </w:rPr>
        <w:t>1.74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גרם נטו תמורת </w:t>
      </w:r>
      <w:r>
        <w:rPr>
          <w:u w:val="single"/>
        </w:rPr>
        <w:t>200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על פי עובדות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28.1.18</w:t>
      </w:r>
      <w:r>
        <w:rPr>
          <w:rtl w:val="true"/>
        </w:rPr>
        <w:t xml:space="preserve"> </w:t>
      </w:r>
      <w:r>
        <w:rPr>
          <w:u w:val="single"/>
          <w:rtl w:val="true"/>
        </w:rPr>
        <w:t xml:space="preserve">מכר הנאשם לסעיד אלצאנע הרואין במשקל </w:t>
      </w:r>
      <w:r>
        <w:rPr>
          <w:u w:val="single"/>
        </w:rPr>
        <w:t>0.88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גרם נטו תמורת </w:t>
      </w:r>
      <w:r>
        <w:rPr>
          <w:u w:val="single"/>
        </w:rPr>
        <w:t>100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על פי עובדות האישום הרביעי</w:t>
      </w:r>
      <w:r>
        <w:rPr>
          <w:rtl w:val="true"/>
        </w:rPr>
        <w:t xml:space="preserve">, </w:t>
      </w:r>
      <w:r>
        <w:rPr>
          <w:rtl w:val="true"/>
        </w:rPr>
        <w:t>במהלך תקופה בת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עובר לתאריך </w:t>
      </w:r>
      <w:r>
        <w:rPr/>
        <w:t>11.2.18</w:t>
      </w:r>
      <w:r>
        <w:rPr>
          <w:rtl w:val="true"/>
        </w:rPr>
        <w:t xml:space="preserve"> </w:t>
      </w:r>
      <w:r>
        <w:rPr>
          <w:rtl w:val="true"/>
        </w:rPr>
        <w:t xml:space="preserve">במספר הזדמנויות שונות </w:t>
      </w:r>
      <w:r>
        <w:rPr>
          <w:u w:val="single"/>
          <w:rtl w:val="true"/>
        </w:rPr>
        <w:t xml:space="preserve">מכר הנאשם לטל ערני קוקאין תמורת </w:t>
      </w:r>
      <w:r>
        <w:rPr>
          <w:u w:val="single"/>
        </w:rPr>
        <w:t>100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למנת סם</w:t>
      </w:r>
      <w:r>
        <w:rPr>
          <w:u w:val="single"/>
          <w:rtl w:val="true"/>
        </w:rPr>
        <w:t xml:space="preserve">. </w:t>
      </w:r>
      <w:r>
        <w:rPr>
          <w:rtl w:val="true"/>
        </w:rPr>
        <w:t>עוד נמסר</w:t>
      </w:r>
      <w:r>
        <w:rPr>
          <w:rtl w:val="true"/>
        </w:rPr>
        <w:t xml:space="preserve">, </w:t>
      </w:r>
      <w:r>
        <w:rPr>
          <w:rtl w:val="true"/>
        </w:rPr>
        <w:t>שכאשר אזל לרוכש הסם כספו</w:t>
      </w:r>
      <w:r>
        <w:rPr>
          <w:rtl w:val="true"/>
        </w:rPr>
        <w:t xml:space="preserve">, </w:t>
      </w:r>
      <w:r>
        <w:rPr>
          <w:rtl w:val="true"/>
        </w:rPr>
        <w:t>הוא שילם לנאשם באמצעות בגדים שאותם רכש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מכשיר טלוויזיה שנרכש בסכום של כ </w:t>
      </w:r>
      <w:r>
        <w:rPr>
          <w:rtl w:val="true"/>
        </w:rPr>
        <w:t xml:space="preserve">- </w:t>
      </w:r>
      <w:r>
        <w:rPr/>
        <w:t>2,390</w:t>
      </w:r>
      <w:r>
        <w:rPr>
          <w:rtl w:val="true"/>
        </w:rPr>
        <w:t xml:space="preserve"> ₪. </w:t>
      </w:r>
      <w:r>
        <w:rPr>
          <w:rtl w:val="true"/>
        </w:rPr>
        <w:t>על פי עובדות האישום החמישי</w:t>
      </w:r>
      <w:r>
        <w:rPr>
          <w:rtl w:val="true"/>
        </w:rPr>
        <w:t xml:space="preserve">, </w:t>
      </w:r>
      <w:r>
        <w:rPr>
          <w:rtl w:val="true"/>
        </w:rPr>
        <w:t>במהלך תקופה של כחודשיים</w:t>
      </w:r>
      <w:r>
        <w:rPr>
          <w:rtl w:val="true"/>
        </w:rPr>
        <w:t xml:space="preserve">, </w:t>
      </w:r>
      <w:r>
        <w:rPr>
          <w:rtl w:val="true"/>
        </w:rPr>
        <w:t xml:space="preserve">עובר לתאריך </w:t>
      </w:r>
      <w:r>
        <w:rPr/>
        <w:t>28.1.18</w:t>
      </w:r>
      <w:r>
        <w:rPr>
          <w:rtl w:val="true"/>
        </w:rPr>
        <w:t xml:space="preserve">, </w:t>
      </w:r>
      <w:r>
        <w:rPr>
          <w:u w:val="single"/>
          <w:rtl w:val="true"/>
        </w:rPr>
        <w:t>בשלוש הזדמנויות שונות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מכר הנאשם לעדי כהן הרואין בכמות שאינה ידועה בסכומים שבין </w:t>
      </w:r>
      <w:r>
        <w:rPr>
          <w:u w:val="single"/>
        </w:rPr>
        <w:t>100</w:t>
      </w:r>
      <w:r>
        <w:rPr>
          <w:u w:val="single"/>
          <w:rtl w:val="true"/>
        </w:rPr>
        <w:t xml:space="preserve"> – </w:t>
      </w:r>
      <w:r>
        <w:rPr>
          <w:u w:val="single"/>
        </w:rPr>
        <w:t>200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בכל פעם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ובאחת מהן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בתאריך </w:t>
      </w:r>
      <w:r>
        <w:rPr>
          <w:u w:val="single"/>
        </w:rPr>
        <w:t>14.1.18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מכר לה </w:t>
      </w:r>
      <w:r>
        <w:rPr>
          <w:u w:val="single"/>
        </w:rPr>
        <w:t>1.55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גרם הרואין תמורת </w:t>
      </w:r>
      <w:r>
        <w:rPr>
          <w:u w:val="single"/>
        </w:rPr>
        <w:t>200</w:t>
      </w:r>
      <w:r>
        <w:rPr>
          <w:u w:val="single"/>
          <w:rtl w:val="true"/>
        </w:rPr>
        <w:t xml:space="preserve"> ₪. </w:t>
      </w:r>
      <w:r>
        <w:rPr>
          <w:u w:val="single"/>
          <w:rtl w:val="true"/>
        </w:rPr>
        <w:t xml:space="preserve">על פי עובדות </w:t>
      </w:r>
      <w:r>
        <w:rPr>
          <w:rtl w:val="true"/>
        </w:rPr>
        <w:t>האישום השישי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5.2.18</w:t>
      </w:r>
      <w:r>
        <w:rPr>
          <w:rtl w:val="true"/>
        </w:rPr>
        <w:t xml:space="preserve"> </w:t>
      </w:r>
      <w:r>
        <w:rPr>
          <w:rtl w:val="true"/>
        </w:rPr>
        <w:t xml:space="preserve">החזיק בביתו קוקאין במשקל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גרם שלא לצריכה עצמית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 המשפט קבע כי מתחם העונש ההולם ביחס לכל מכירה ומכירה של הרואין</w:t>
      </w:r>
      <w:r>
        <w:rPr>
          <w:b/>
          <w:bCs/>
          <w:rtl w:val="true"/>
        </w:rPr>
        <w:t xml:space="preserve">/ </w:t>
      </w:r>
      <w:r>
        <w:rPr>
          <w:b/>
          <w:b/>
          <w:bCs/>
          <w:rtl w:val="true"/>
        </w:rPr>
        <w:t>קוקאין במשקלים המתוארים באישום ובנסיבות המתוארות נע בין מספר חודשי מאסר בפועל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בית המשפט גזר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שלחובתו עבר פלילי הכולל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 קודמות בתחום הרלוונטי</w:t>
      </w:r>
      <w:r>
        <w:rPr>
          <w:rtl w:val="true"/>
        </w:rPr>
        <w:t xml:space="preserve">, </w:t>
      </w:r>
      <w:r>
        <w:rPr>
          <w:rtl w:val="true"/>
        </w:rPr>
        <w:t>שלא עבר הליך שיקומי</w:t>
      </w:r>
      <w:r>
        <w:rPr>
          <w:rtl w:val="true"/>
        </w:rPr>
        <w:t xml:space="preserve">, </w:t>
      </w:r>
      <w:r>
        <w:rPr>
          <w:rtl w:val="true"/>
        </w:rPr>
        <w:t>תוך התייחסות לנסיבות חייו כפי שפורטו בתסקיר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עונש של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מהם תנוכה תקופת מעצרו לצד 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30,000</w:t>
      </w:r>
      <w:r>
        <w:rPr>
          <w:rtl w:val="true"/>
        </w:rPr>
        <w:t xml:space="preserve"> ₪ </w:t>
      </w:r>
      <w:r>
        <w:rPr>
          <w:rtl w:val="true"/>
        </w:rPr>
        <w:t>ופסילת רישיון נהיגה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3"/>
        </w:numPr>
        <w:spacing w:lineRule="auto" w:line="360"/>
        <w:ind w:hanging="360"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13084-07-18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אן פייר </w:t>
      </w:r>
      <w:r>
        <w:rPr>
          <w:rtl w:val="true"/>
        </w:rPr>
        <w:t>(</w:t>
      </w:r>
      <w:r>
        <w:rPr/>
        <w:t>17.12.19</w:t>
      </w:r>
      <w:r>
        <w:rPr>
          <w:rtl w:val="true"/>
        </w:rPr>
        <w:t xml:space="preserve">)- </w:t>
      </w:r>
      <w:r>
        <w:rPr>
          <w:rtl w:val="true"/>
        </w:rPr>
        <w:t xml:space="preserve">הנאשם הורשע על פי הודאתו </w:t>
      </w:r>
      <w:r>
        <w:rPr>
          <w:u w:val="single"/>
          <w:rtl w:val="true"/>
        </w:rPr>
        <w:t>בשתי עבירות של סחר בסמים ובעבירה נוספת של תיווך בסם מסוכן</w:t>
      </w:r>
      <w:r>
        <w:rPr>
          <w:rtl w:val="true"/>
        </w:rPr>
        <w:t xml:space="preserve">. </w:t>
      </w:r>
      <w:r>
        <w:rPr>
          <w:rtl w:val="true"/>
        </w:rPr>
        <w:t>למקרא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עניין לנו בפרשת סוכן אשר הפעילה משטרת ישראל בשלהי התקופה שבין יולי לאוגוסט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באזור תל אביב כאשר הסוכן</w:t>
      </w:r>
      <w:r>
        <w:rPr>
          <w:rtl w:val="true"/>
        </w:rPr>
        <w:t xml:space="preserve">, </w:t>
      </w:r>
      <w:r>
        <w:rPr>
          <w:rtl w:val="true"/>
        </w:rPr>
        <w:t>על מנת להיטמע באזור</w:t>
      </w:r>
      <w:r>
        <w:rPr>
          <w:rtl w:val="true"/>
        </w:rPr>
        <w:t xml:space="preserve">, </w:t>
      </w:r>
      <w:r>
        <w:rPr>
          <w:rtl w:val="true"/>
        </w:rPr>
        <w:t>פתח חנות לממכר אופניים</w:t>
      </w:r>
      <w:r>
        <w:rPr>
          <w:rtl w:val="true"/>
        </w:rPr>
        <w:t xml:space="preserve">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הנאשם עבד במסעדת </w:t>
      </w:r>
      <w:r>
        <w:rPr>
          <w:rtl w:val="true"/>
        </w:rPr>
        <w:t>"</w:t>
      </w:r>
      <w:r>
        <w:rPr>
          <w:rtl w:val="true"/>
        </w:rPr>
        <w:t>פאפא</w:t>
      </w:r>
      <w:r>
        <w:rPr>
          <w:rtl w:val="true"/>
        </w:rPr>
        <w:t xml:space="preserve">" </w:t>
      </w:r>
      <w:r>
        <w:rPr>
          <w:rtl w:val="true"/>
        </w:rPr>
        <w:t>ברחוב צ</w:t>
      </w:r>
      <w:r>
        <w:rPr>
          <w:rtl w:val="true"/>
        </w:rPr>
        <w:t>'</w:t>
      </w:r>
      <w:r>
        <w:rPr>
          <w:rtl w:val="true"/>
        </w:rPr>
        <w:t>רנחובסקי בתל אביב</w:t>
      </w:r>
      <w:r>
        <w:rPr>
          <w:rtl w:val="true"/>
        </w:rPr>
        <w:t xml:space="preserve">, </w:t>
      </w:r>
      <w:r>
        <w:rPr>
          <w:rtl w:val="true"/>
        </w:rPr>
        <w:t>ובתוך כך הסוכן הגיע למסעדה והחל לשוחח עם הנאשם</w:t>
      </w:r>
      <w:r>
        <w:rPr>
          <w:rtl w:val="true"/>
        </w:rPr>
        <w:t xml:space="preserve">. </w:t>
      </w:r>
      <w:r>
        <w:rPr>
          <w:rtl w:val="true"/>
        </w:rPr>
        <w:t>אליבא דאישום הראשון</w:t>
      </w:r>
      <w:r>
        <w:rPr>
          <w:rtl w:val="true"/>
        </w:rPr>
        <w:t xml:space="preserve">, </w:t>
      </w:r>
      <w:r>
        <w:rPr>
          <w:rtl w:val="true"/>
        </w:rPr>
        <w:t>אמר הסוכן לנאשם</w:t>
      </w:r>
      <w:r>
        <w:rPr>
          <w:rtl w:val="true"/>
        </w:rPr>
        <w:t xml:space="preserve">, </w:t>
      </w:r>
      <w:r>
        <w:rPr>
          <w:rtl w:val="true"/>
        </w:rPr>
        <w:t>כי חברו אינו מצליח להשיג לו חשיש</w:t>
      </w:r>
      <w:r>
        <w:rPr>
          <w:rtl w:val="true"/>
        </w:rPr>
        <w:t xml:space="preserve">, </w:t>
      </w:r>
      <w:r>
        <w:rPr>
          <w:rtl w:val="true"/>
        </w:rPr>
        <w:t>או אז אמר הנאשם לסוכן כי יוכל להשיג לו את מבוקשתו</w:t>
      </w:r>
      <w:r>
        <w:rPr>
          <w:rtl w:val="true"/>
        </w:rPr>
        <w:t xml:space="preserve">. </w:t>
      </w:r>
      <w:r>
        <w:rPr>
          <w:u w:val="single"/>
          <w:rtl w:val="true"/>
        </w:rPr>
        <w:t>בהמשך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ביום </w:t>
      </w:r>
      <w:r>
        <w:rPr>
          <w:u w:val="single"/>
        </w:rPr>
        <w:t>24.04.2018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העביר הנאשם לסוכן חשיש במשקל </w:t>
      </w:r>
      <w:r>
        <w:rPr>
          <w:u w:val="single"/>
        </w:rPr>
        <w:t>96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 בתמורה ל</w:t>
      </w:r>
      <w:r>
        <w:rPr>
          <w:u w:val="single"/>
          <w:rtl w:val="true"/>
        </w:rPr>
        <w:t>-</w:t>
      </w:r>
      <w:r>
        <w:rPr>
          <w:u w:val="single"/>
        </w:rPr>
        <w:t>2,800</w:t>
      </w:r>
      <w:r>
        <w:rPr>
          <w:u w:val="single"/>
          <w:rtl w:val="true"/>
        </w:rPr>
        <w:t xml:space="preserve"> ₪</w:t>
      </w:r>
      <w:r>
        <w:rPr>
          <w:rtl w:val="true"/>
        </w:rPr>
        <w:t>.</w:t>
      </w:r>
      <w:r>
        <w:rPr>
          <w:rtl w:val="true"/>
        </w:rPr>
        <w:t>תחילה קיבל הנאשם בחנותו של הסוכן את הכסף וכעבור זמן שב לחנות והעביר את הסם לסוכן</w:t>
      </w:r>
      <w:r>
        <w:rPr>
          <w:rtl w:val="true"/>
        </w:rPr>
        <w:t xml:space="preserve">. </w:t>
      </w:r>
      <w:r>
        <w:rPr>
          <w:rtl w:val="true"/>
        </w:rPr>
        <w:t>בגמר העסקה</w:t>
      </w:r>
      <w:r>
        <w:rPr>
          <w:rtl w:val="true"/>
        </w:rPr>
        <w:t xml:space="preserve">, </w:t>
      </w:r>
      <w:r>
        <w:rPr>
          <w:rtl w:val="true"/>
        </w:rPr>
        <w:t xml:space="preserve">שילם הסוכן </w:t>
      </w:r>
      <w:r>
        <w:rPr/>
        <w:t>200</w:t>
      </w:r>
      <w:r>
        <w:rPr>
          <w:rtl w:val="true"/>
        </w:rPr>
        <w:t xml:space="preserve"> ₪ </w:t>
      </w:r>
      <w:r>
        <w:rPr>
          <w:rtl w:val="true"/>
        </w:rPr>
        <w:t>נוספים לנאשם</w:t>
      </w:r>
      <w:r>
        <w:rPr>
          <w:rtl w:val="true"/>
        </w:rPr>
        <w:t xml:space="preserve">. </w:t>
      </w:r>
      <w:r>
        <w:rPr>
          <w:rtl w:val="true"/>
        </w:rPr>
        <w:t>אליבא דאישום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07.05.2018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העביר הנאשם לסוכן סם מסוכן מסוג חשיש במשקל </w:t>
      </w:r>
      <w:r>
        <w:rPr>
          <w:u w:val="single"/>
        </w:rPr>
        <w:t>98.5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 חשיש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בעבור </w:t>
      </w:r>
      <w:r>
        <w:rPr>
          <w:u w:val="single"/>
        </w:rPr>
        <w:t>2,800</w:t>
      </w:r>
      <w:r>
        <w:rPr>
          <w:u w:val="single"/>
          <w:rtl w:val="true"/>
        </w:rPr>
        <w:t xml:space="preserve"> ₪, </w:t>
      </w:r>
      <w:r>
        <w:rPr>
          <w:u w:val="single"/>
          <w:rtl w:val="true"/>
        </w:rPr>
        <w:t>ועבור תיווכו בעסקה זו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קיבל הנאשם מהסוכן סך של </w:t>
      </w:r>
      <w:r>
        <w:rPr>
          <w:u w:val="single"/>
        </w:rPr>
        <w:t>200</w:t>
      </w:r>
      <w:r>
        <w:rPr>
          <w:rtl w:val="true"/>
        </w:rPr>
        <w:t xml:space="preserve"> ₪. </w:t>
      </w:r>
      <w:r>
        <w:rPr>
          <w:rtl w:val="true"/>
        </w:rPr>
        <w:t>אליבא דאישום השלישי לכתב האישום המתוקן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הנאשם מכר לסוכן המשטרתי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זאת ביום </w:t>
      </w:r>
      <w:r>
        <w:rPr>
          <w:u w:val="single"/>
        </w:rPr>
        <w:t>14.05.2018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סם מסוכן מסוג קוקאין </w:t>
      </w:r>
      <w:r>
        <w:rPr>
          <w:b/>
          <w:b/>
          <w:bCs/>
          <w:u w:val="single"/>
          <w:rtl w:val="true"/>
        </w:rPr>
        <w:t xml:space="preserve">במשקל </w:t>
      </w:r>
      <w:r>
        <w:rPr>
          <w:b/>
          <w:bCs/>
          <w:u w:val="single"/>
        </w:rPr>
        <w:t>4.2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גרם</w:t>
      </w:r>
      <w:r>
        <w:rPr>
          <w:u w:val="single"/>
          <w:rtl w:val="true"/>
        </w:rPr>
        <w:t xml:space="preserve"> בתמורה לסך של </w:t>
      </w:r>
      <w:r>
        <w:rPr>
          <w:u w:val="single"/>
        </w:rPr>
        <w:t>2,500</w:t>
      </w:r>
      <w:r>
        <w:rPr>
          <w:u w:val="single"/>
          <w:rtl w:val="true"/>
        </w:rPr>
        <w:t xml:space="preserve"> ₪. </w:t>
      </w:r>
      <w:r>
        <w:rPr>
          <w:b/>
          <w:b/>
          <w:bCs/>
          <w:rtl w:val="true"/>
        </w:rPr>
        <w:t>בית המשפט קבע כי מתחם העונש ההולם בעבירות של סחר בסמים קשים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כגון קוקאין או הרואין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מתחם העונש ההולם לכל עסקה נע בין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לצד ענישה נלוות ובמיוחד רכיבים כספיים משמעותיים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באשר לעבירות תיווך בסם</w:t>
      </w:r>
      <w:r>
        <w:rPr>
          <w:rtl w:val="true"/>
        </w:rPr>
        <w:t xml:space="preserve">, </w:t>
      </w:r>
      <w:r>
        <w:rPr>
          <w:rtl w:val="true"/>
        </w:rPr>
        <w:t>בית המשפט ציין כי מדיניות הפסיקה הנוהגת נעה בין מס</w:t>
      </w:r>
      <w:r>
        <w:rPr>
          <w:rtl w:val="true"/>
        </w:rPr>
        <w:t xml:space="preserve">' </w:t>
      </w:r>
      <w:r>
        <w:rPr>
          <w:rtl w:val="true"/>
        </w:rPr>
        <w:t>חודשים שיכול וירוצו בעבודות שירות ועד 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לצד ענישה נלוות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 המשפט קבע כי יש להשקיף על הדברים כאירוע מאוחד וכולל לאור הזיקה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סמיכות הזמנים וההתנהלות הזהה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וכי מתחם העונש ההולם נע בין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ל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לצד ענישה נלוות ורכיבים כספיים הולמים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גזר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צעיר 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נעדר עבר פלילי וללא תיקי 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שהודה בפתח משפטו</w:t>
      </w:r>
      <w:r>
        <w:rPr>
          <w:rtl w:val="true"/>
        </w:rPr>
        <w:t xml:space="preserve">, </w:t>
      </w:r>
      <w:r>
        <w:rPr>
          <w:rtl w:val="true"/>
        </w:rPr>
        <w:t>שנטל אחריות מלאה על מעשיו והביע חרטה</w:t>
      </w:r>
      <w:r>
        <w:rPr>
          <w:rtl w:val="true"/>
        </w:rPr>
        <w:t xml:space="preserve">, </w:t>
      </w:r>
      <w:r>
        <w:rPr>
          <w:rtl w:val="true"/>
        </w:rPr>
        <w:t>שחסך בזמן שיפוטי ניכר</w:t>
      </w:r>
      <w:r>
        <w:rPr>
          <w:rtl w:val="true"/>
        </w:rPr>
        <w:t xml:space="preserve">, </w:t>
      </w:r>
      <w:r>
        <w:rPr>
          <w:rtl w:val="true"/>
        </w:rPr>
        <w:t>ששהה במעצר ממש מעל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 ולאחר תקופה זו תקופה ניכרת בתנאים מגבילים</w:t>
      </w:r>
      <w:r>
        <w:rPr>
          <w:rtl w:val="true"/>
        </w:rPr>
        <w:t xml:space="preserve">, </w:t>
      </w:r>
      <w:r>
        <w:rPr>
          <w:rtl w:val="true"/>
        </w:rPr>
        <w:t>תוך התחשבות בנסיבות חייו האישיות כפי שפורטו בתסקיר שירות המבחן ושילובו בטיפול</w:t>
      </w:r>
      <w:r>
        <w:rPr>
          <w:rtl w:val="true"/>
        </w:rPr>
        <w:t xml:space="preserve">, </w:t>
      </w:r>
      <w:r>
        <w:rPr>
          <w:rtl w:val="true"/>
        </w:rPr>
        <w:t xml:space="preserve">עונש של מאסר לתקופה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 ימי המעצר</w:t>
      </w:r>
      <w:r>
        <w:rPr>
          <w:rtl w:val="true"/>
        </w:rPr>
        <w:t xml:space="preserve">, </w:t>
      </w:r>
      <w:r>
        <w:rPr>
          <w:rtl w:val="true"/>
        </w:rPr>
        <w:t>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לצד 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 xml:space="preserve">קנס כספי בסך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וצו מבחן</w:t>
      </w:r>
      <w:r>
        <w:rPr>
          <w:rtl w:val="true"/>
        </w:rPr>
        <w:t>.</w:t>
      </w:r>
    </w:p>
    <w:p>
      <w:pPr>
        <w:pStyle w:val="Normal"/>
        <w:numPr>
          <w:ilvl w:val="0"/>
          <w:numId w:val="13"/>
        </w:numPr>
        <w:spacing w:lineRule="auto" w:line="360"/>
        <w:ind w:hanging="360" w:start="720" w:end="0"/>
        <w:jc w:val="both"/>
        <w:rPr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54024-09-19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אבו שמיס </w:t>
      </w:r>
      <w:r>
        <w:rPr>
          <w:rtl w:val="true"/>
        </w:rPr>
        <w:t>(</w:t>
      </w:r>
      <w:r>
        <w:rPr/>
        <w:t>20.10.20</w:t>
      </w:r>
      <w:r>
        <w:rPr>
          <w:rtl w:val="true"/>
        </w:rPr>
        <w:t xml:space="preserve">)- </w:t>
      </w:r>
      <w:r>
        <w:rPr>
          <w:rtl w:val="true"/>
        </w:rPr>
        <w:t xml:space="preserve">הנאשם הורשע על פי הודאתו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 של סחר בסמים</w:t>
      </w:r>
      <w:r>
        <w:rPr>
          <w:rtl w:val="true"/>
        </w:rPr>
        <w:t xml:space="preserve">. </w:t>
      </w:r>
      <w:r>
        <w:rPr>
          <w:rtl w:val="true"/>
        </w:rPr>
        <w:t>אליבא דכתב האישום המתוקן</w:t>
      </w:r>
      <w:r>
        <w:rPr>
          <w:rtl w:val="true"/>
        </w:rPr>
        <w:t xml:space="preserve">, </w:t>
      </w:r>
      <w:r>
        <w:rPr>
          <w:rtl w:val="true"/>
        </w:rPr>
        <w:t>משטרת ישראל הפעילה שוטרת סמויה אשר התכתבה עם הנאשם ולאחר תיאום ביניהם</w:t>
      </w:r>
      <w:r>
        <w:rPr>
          <w:rtl w:val="true"/>
        </w:rPr>
        <w:t xml:space="preserve">, </w:t>
      </w:r>
      <w:r>
        <w:rPr>
          <w:rtl w:val="true"/>
        </w:rPr>
        <w:t xml:space="preserve">הנאשם הגיע באמצעות קורקינט לרחוב סלמה בתל אביב </w:t>
      </w:r>
      <w:r>
        <w:rPr>
          <w:u w:val="single"/>
          <w:rtl w:val="true"/>
        </w:rPr>
        <w:t xml:space="preserve">ומסר לידיה סם מסוכן מסוג קנאביס במשקל </w:t>
      </w:r>
      <w:r>
        <w:rPr>
          <w:u w:val="single"/>
        </w:rPr>
        <w:t>4.59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 בתמורה ל</w:t>
      </w:r>
      <w:r>
        <w:rPr>
          <w:u w:val="single"/>
          <w:rtl w:val="true"/>
        </w:rPr>
        <w:t>-</w:t>
      </w:r>
      <w:r>
        <w:rPr>
          <w:u w:val="single"/>
        </w:rPr>
        <w:t>500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 xml:space="preserve">וזאת ביום </w:t>
      </w:r>
      <w:r>
        <w:rPr>
          <w:u w:val="single"/>
        </w:rPr>
        <w:t>05.09.2019</w:t>
      </w:r>
      <w:r>
        <w:rPr>
          <w:rtl w:val="true"/>
        </w:rPr>
        <w:t xml:space="preserve">. </w:t>
      </w:r>
      <w:r>
        <w:rPr>
          <w:u w:val="single"/>
          <w:rtl w:val="true"/>
        </w:rPr>
        <w:t xml:space="preserve">ביום </w:t>
      </w:r>
      <w:r>
        <w:rPr>
          <w:u w:val="single"/>
        </w:rPr>
        <w:t>11.09.2019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סחר הנאשם בסם מסוג קאנביס עם השוטרת הסמויה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עת מסר לידה ברחוב סלמה בתל אביב בשעת אחה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צ סם בהיקף של </w:t>
      </w:r>
      <w:r>
        <w:rPr>
          <w:u w:val="single"/>
        </w:rPr>
        <w:t>4.13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 בתמורה ל</w:t>
      </w:r>
      <w:r>
        <w:rPr>
          <w:u w:val="single"/>
          <w:rtl w:val="true"/>
        </w:rPr>
        <w:t>-</w:t>
      </w:r>
      <w:r>
        <w:rPr>
          <w:u w:val="single"/>
        </w:rPr>
        <w:t>500</w:t>
      </w:r>
      <w:r>
        <w:rPr>
          <w:rtl w:val="true"/>
        </w:rPr>
        <w:t xml:space="preserve"> ₪.</w:t>
      </w:r>
      <w:r>
        <w:rPr>
          <w:u w:val="single"/>
          <w:rtl w:val="true"/>
        </w:rPr>
        <w:t>אליבא דאישום השני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ביום </w:t>
      </w:r>
      <w:r>
        <w:rPr>
          <w:u w:val="single"/>
        </w:rPr>
        <w:t>15.09.2019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סחר הנאשם בסם מסוג קוקאין במשקל של </w:t>
      </w:r>
      <w:r>
        <w:rPr>
          <w:u w:val="single"/>
        </w:rPr>
        <w:t>3.3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גרם נטו עם השוטרת הסמויה בכך שמסר לידה את הסם ברחוב סלמה בתל אביב בתמורה לסך של </w:t>
      </w:r>
      <w:r>
        <w:rPr>
          <w:u w:val="single"/>
        </w:rPr>
        <w:t>3,000</w:t>
      </w:r>
      <w:r>
        <w:rPr>
          <w:u w:val="single"/>
          <w:rtl w:val="true"/>
        </w:rPr>
        <w:t xml:space="preserve"> ₪. </w:t>
      </w:r>
      <w:r>
        <w:rPr>
          <w:rtl w:val="true"/>
        </w:rPr>
        <w:t xml:space="preserve">בית המשפט קבע כי מתחם העונש ההולם בעבירות סחר בסמים מסוג קאנביס וחשיש </w:t>
      </w:r>
      <w:r>
        <w:rPr>
          <w:rtl w:val="true"/>
        </w:rPr>
        <w:t>(</w:t>
      </w:r>
      <w:r>
        <w:rPr>
          <w:rtl w:val="true"/>
        </w:rPr>
        <w:t>האירוע הראשון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עסקאות הסחר בסמים אותן רואים כאירוע אחד</w:t>
      </w:r>
      <w:r>
        <w:rPr>
          <w:rtl w:val="true"/>
        </w:rPr>
        <w:t xml:space="preserve">) </w:t>
      </w:r>
      <w:r>
        <w:rPr>
          <w:rtl w:val="true"/>
        </w:rPr>
        <w:t>נע בין מאסר קצר ולו בעבודות שירות ועד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לצד ענישה נלווית</w:t>
      </w:r>
      <w:r>
        <w:rPr>
          <w:b/>
          <w:b/>
          <w:bCs/>
          <w:rtl w:val="true"/>
        </w:rPr>
        <w:t xml:space="preserve"> וכי מתחם העונש ההולם בעבירת הסחר בקוקאין נע בין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לבין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לצד ענישה נלווית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בית המשפט גזר על הנאשם</w:t>
      </w:r>
      <w:r>
        <w:rPr>
          <w:rtl w:val="true"/>
        </w:rPr>
        <w:t xml:space="preserve">, </w:t>
      </w:r>
      <w:r>
        <w:rPr>
          <w:rtl w:val="true"/>
        </w:rPr>
        <w:t>צעיר לימים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נעדר עבר פלילי וללא תיקי 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תוך התחשבות בנסיבות חייו</w:t>
      </w:r>
      <w:r>
        <w:rPr>
          <w:rtl w:val="true"/>
        </w:rPr>
        <w:t xml:space="preserve">, </w:t>
      </w:r>
      <w:r>
        <w:rPr>
          <w:rtl w:val="true"/>
        </w:rPr>
        <w:t>הטיפול שעבר ודגימות השתן שנמצאו נקיות משרידי סם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שירוצו בדרך של עבודות שירות בניכוי ימי מעצרו</w:t>
      </w:r>
      <w:r>
        <w:rPr>
          <w:rtl w:val="true"/>
        </w:rPr>
        <w:t xml:space="preserve">, </w:t>
      </w:r>
      <w:r>
        <w:rPr>
          <w:rtl w:val="true"/>
        </w:rPr>
        <w:t>לצד מע</w:t>
      </w:r>
      <w:r>
        <w:rPr>
          <w:rtl w:val="true"/>
        </w:rPr>
        <w:t>"</w:t>
      </w:r>
      <w:r>
        <w:rPr>
          <w:rtl w:val="true"/>
        </w:rPr>
        <w:t xml:space="preserve">ת וקנס בסך </w:t>
      </w:r>
      <w:r>
        <w:rPr/>
        <w:t>2,000</w:t>
      </w:r>
      <w:r>
        <w:rPr>
          <w:rtl w:val="true"/>
        </w:rPr>
        <w:t xml:space="preserve"> ₪.</w:t>
      </w:r>
    </w:p>
    <w:p>
      <w:pPr>
        <w:pStyle w:val="Normal"/>
        <w:numPr>
          <w:ilvl w:val="0"/>
          <w:numId w:val="13"/>
        </w:numPr>
        <w:spacing w:lineRule="auto" w:line="360" w:before="0" w:after="160"/>
        <w:ind w:hanging="360" w:start="720" w:end="0"/>
        <w:contextualSpacing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58746-02-21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תורג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מן </w:t>
      </w:r>
      <w:r>
        <w:rPr>
          <w:rtl w:val="true"/>
        </w:rPr>
        <w:t>(</w:t>
      </w:r>
      <w:r>
        <w:rPr/>
        <w:t>11.7.22</w:t>
      </w:r>
      <w:r>
        <w:rPr>
          <w:rtl w:val="true"/>
        </w:rPr>
        <w:t xml:space="preserve">)- </w:t>
      </w:r>
      <w:r>
        <w:rPr>
          <w:rtl w:val="true"/>
        </w:rPr>
        <w:t>הנאשם הורשע על יסוד הודאתו בעבירה של סחר בסמים</w:t>
      </w:r>
      <w:r>
        <w:rPr>
          <w:rtl w:val="true"/>
        </w:rPr>
        <w:t xml:space="preserve">, </w:t>
      </w:r>
      <w:r>
        <w:rPr>
          <w:rtl w:val="true"/>
        </w:rPr>
        <w:t>החזקה שלא לצריכה עצמית והחזקה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למקרא עובדות כתב האישום עולה כי הנאשם נהג ברחובה של עיר ומכר לאחר סם מסוג קוקאין במשקל </w:t>
      </w:r>
      <w:r>
        <w:rPr/>
        <w:t>1.9</w:t>
      </w:r>
      <w:r>
        <w:rPr>
          <w:rtl w:val="true"/>
        </w:rPr>
        <w:t xml:space="preserve"> </w:t>
      </w:r>
      <w:r>
        <w:rPr>
          <w:rtl w:val="true"/>
        </w:rPr>
        <w:t>גרם נטו בתמורה ל</w:t>
      </w:r>
      <w:r>
        <w:rPr/>
        <w:t>1,300</w:t>
      </w:r>
      <w:r>
        <w:rPr>
          <w:rtl w:val="true"/>
        </w:rPr>
        <w:t xml:space="preserve"> ₪ </w:t>
      </w:r>
      <w:r>
        <w:rPr>
          <w:rtl w:val="true"/>
        </w:rPr>
        <w:t xml:space="preserve">עוד הוברר כי החזיק לצריכתו העצמית </w:t>
      </w:r>
      <w:r>
        <w:rPr/>
        <w:t>3.4</w:t>
      </w:r>
      <w:r>
        <w:rPr>
          <w:rtl w:val="true"/>
        </w:rPr>
        <w:t xml:space="preserve"> </w:t>
      </w:r>
      <w:r>
        <w:rPr>
          <w:rtl w:val="true"/>
        </w:rPr>
        <w:t>גרם קוקאין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/>
        <w:t>8.7</w:t>
      </w:r>
      <w:r>
        <w:rPr>
          <w:rtl w:val="true"/>
        </w:rPr>
        <w:t xml:space="preserve"> </w:t>
      </w:r>
      <w:r>
        <w:rPr>
          <w:rtl w:val="true"/>
        </w:rPr>
        <w:t>גרם קוקאין שחולק לשקיות שלא לצריכתו העצמית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לא בלי התלבטות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בית המשפט קבע מתחם עונשי כולל למעשיו של הנאשם הנע בין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ועד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לצד ענישה נלווית</w:t>
      </w:r>
      <w:r>
        <w:rPr>
          <w:rtl w:val="true"/>
        </w:rPr>
        <w:t xml:space="preserve"> בית המשפט מיקם את הנאשם בתחתית המתחם לאור עבר פלילי נקי</w:t>
      </w:r>
      <w:r>
        <w:rPr>
          <w:rtl w:val="true"/>
        </w:rPr>
        <w:t xml:space="preserve">, </w:t>
      </w:r>
      <w:r>
        <w:rPr>
          <w:rtl w:val="true"/>
        </w:rPr>
        <w:t>מצבו הנפשי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ששהה במעצר ממש מעל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 ותקופה ממושכת בתנאים מגבילים</w:t>
      </w:r>
      <w:r>
        <w:rPr>
          <w:rtl w:val="true"/>
        </w:rPr>
        <w:t xml:space="preserve">, </w:t>
      </w:r>
      <w:r>
        <w:rPr>
          <w:rtl w:val="true"/>
        </w:rPr>
        <w:t>אי פתיחת תיקים חדשים וללא הפרות</w:t>
      </w:r>
      <w:r>
        <w:rPr>
          <w:rtl w:val="true"/>
        </w:rPr>
        <w:t xml:space="preserve">, </w:t>
      </w:r>
      <w:r>
        <w:rPr>
          <w:rtl w:val="true"/>
        </w:rPr>
        <w:t>יציבותו התעסוקתית</w:t>
      </w:r>
      <w:r>
        <w:rPr>
          <w:rtl w:val="true"/>
        </w:rPr>
        <w:t xml:space="preserve">, </w:t>
      </w:r>
      <w:r>
        <w:rPr>
          <w:rtl w:val="true"/>
        </w:rPr>
        <w:t>הודיה בפתח משפטו וחסכון בזמן שיפוטי ניכר</w:t>
      </w:r>
      <w:r>
        <w:rPr>
          <w:rtl w:val="true"/>
        </w:rPr>
        <w:t xml:space="preserve">. </w:t>
      </w:r>
      <w:r>
        <w:rPr>
          <w:rtl w:val="true"/>
        </w:rPr>
        <w:t xml:space="preserve">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ללא ניכוי ימי המעצר שירוצו בדרך של עבודות שירות לצד 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 xml:space="preserve">קנס </w:t>
      </w:r>
      <w:r>
        <w:rPr/>
        <w:t>2,000₪</w:t>
      </w:r>
      <w:r>
        <w:rPr>
          <w:rtl w:val="true"/>
        </w:rPr>
        <w:t xml:space="preserve">, </w:t>
      </w:r>
      <w:r>
        <w:rPr>
          <w:rtl w:val="true"/>
        </w:rPr>
        <w:t>פסילה על תנאי וחילוט הכספים בהסכמה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אוסיף פסיקה אליה התייחס התובע</w:t>
      </w:r>
      <w:r>
        <w:rPr>
          <w:rtl w:val="true"/>
        </w:rPr>
        <w:t xml:space="preserve">, </w:t>
      </w:r>
      <w:r>
        <w:rPr>
          <w:rtl w:val="true"/>
        </w:rPr>
        <w:t>ברע</w:t>
      </w:r>
      <w:r>
        <w:rPr>
          <w:rtl w:val="true"/>
        </w:rPr>
        <w:t>"</w:t>
      </w:r>
      <w:r>
        <w:rPr>
          <w:rtl w:val="true"/>
        </w:rPr>
        <w:t xml:space="preserve">פ – </w:t>
      </w:r>
      <w:r>
        <w:rPr/>
        <w:t>1473/18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אוחיון נגד 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שם אושר מתחם של </w:t>
      </w:r>
      <w:r>
        <w:rPr/>
        <w:t>6-12</w:t>
      </w:r>
      <w:r>
        <w:rPr>
          <w:rtl w:val="true"/>
        </w:rPr>
        <w:t xml:space="preserve"> </w:t>
      </w:r>
      <w:r>
        <w:rPr>
          <w:rtl w:val="true"/>
        </w:rPr>
        <w:t>חודשים וזאת ביחס לעבירות של החזקת קוקאין בכמות קטנה יותר מהמקרה שלפנינו</w:t>
      </w:r>
      <w:r>
        <w:rPr>
          <w:rtl w:val="true"/>
        </w:rPr>
        <w:t xml:space="preserve">, </w:t>
      </w:r>
      <w:r>
        <w:rPr>
          <w:rtl w:val="true"/>
        </w:rPr>
        <w:t>אך מנגד – אפנה לת</w:t>
      </w:r>
      <w:r>
        <w:rPr>
          <w:rtl w:val="true"/>
        </w:rPr>
        <w:t>"</w:t>
      </w:r>
      <w:r>
        <w:rPr>
          <w:rtl w:val="true"/>
        </w:rPr>
        <w:t xml:space="preserve">פ – </w:t>
      </w:r>
      <w:r>
        <w:rPr/>
        <w:t>41515-08-18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 ישראל נגד בורזנקו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שם נקבע מתחם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בעבירות של החזקת סמים שלא לצריכה עצמית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גרם מסוג הרואין ועוד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מסוג קוקאין</w:t>
      </w:r>
      <w:r>
        <w:rPr>
          <w:rtl w:val="true"/>
        </w:rPr>
        <w:t>).</w:t>
      </w:r>
    </w:p>
    <w:p>
      <w:pPr>
        <w:pStyle w:val="Normal"/>
        <w:snapToGrid w:val="false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u w:val="single"/>
          <w:rtl w:val="true"/>
          <w:lang w:eastAsia="he-IL"/>
        </w:rPr>
        <w:t xml:space="preserve">אשר למדיניות הענישה בעבירת </w:t>
      </w:r>
      <w:r>
        <w:rPr>
          <w:b/>
          <w:b/>
          <w:bCs/>
          <w:u w:val="single"/>
          <w:rtl w:val="true"/>
          <w:lang w:eastAsia="he-IL"/>
        </w:rPr>
        <w:t>החזקת סכין</w:t>
      </w:r>
      <w:r>
        <w:rPr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שלא כדין</w:t>
      </w:r>
      <w:r>
        <w:rPr>
          <w:rtl w:val="true"/>
          <w:lang w:eastAsia="he-IL"/>
        </w:rPr>
        <w:t xml:space="preserve"> – מדיניות הענישה המקובלת בעבירות מסוג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נעה בין מאסר מותנה ועד מספר חודשי מאסר שיכול וירוצו בעבודות שירות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 קבע בית המשפט ב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22663-11-11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שלמה כהן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 קבע 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 דרויאן במתחם שמתחיל במאסר מותנה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צ וקנס ועד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 המשפט לא התעלם מפסיקה לפיה הוטלו עונשים של מאסר בפועל בתיקים מסוג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 מצד 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הפנה לפסיקה מקלה בתחום</w:t>
      </w:r>
      <w:r>
        <w:rPr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  <w:lang w:eastAsia="he-IL"/>
        </w:rPr>
        <w:t>גם ב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25854-09-13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מובדלי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נקבע מתחם בעבירת החזקת סכין שמתחיל במאסר מותנה ועד ל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דנן לא מצאתי נסיבות מיוחדות המצדיקות סטייה ממתחם העונש ההולם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 העונש בתוך מתחם העונש 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שני הצדדים מסכימים כי יש למקם את עונשו של הנאשם בשליש התחתון של המתחם ואולם ההגנה</w:t>
      </w:r>
      <w:r>
        <w:rPr>
          <w:rtl w:val="true"/>
        </w:rPr>
        <w:t xml:space="preserve">, </w:t>
      </w:r>
      <w:r>
        <w:rPr>
          <w:rtl w:val="true"/>
        </w:rPr>
        <w:t>מבקשת למקם את העונש ברף התחתון ממש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בחור צעיר</w:t>
      </w:r>
      <w:r>
        <w:rPr>
          <w:rtl w:val="true"/>
        </w:rPr>
        <w:t xml:space="preserve">, </w:t>
      </w:r>
      <w:r>
        <w:rPr>
          <w:rtl w:val="true"/>
        </w:rPr>
        <w:t>נעדר עבר פלילי ואולם</w:t>
      </w:r>
      <w:r>
        <w:rPr>
          <w:rtl w:val="true"/>
        </w:rPr>
        <w:t xml:space="preserve">, </w:t>
      </w:r>
      <w:r>
        <w:rPr>
          <w:rtl w:val="true"/>
        </w:rPr>
        <w:t>קשה להתנתק מהרושם שמותיר התסקיר האחרון</w:t>
      </w:r>
      <w:r>
        <w:rPr>
          <w:rtl w:val="true"/>
        </w:rPr>
        <w:t xml:space="preserve">, </w:t>
      </w:r>
      <w:r>
        <w:rPr>
          <w:rtl w:val="true"/>
        </w:rPr>
        <w:t>תסקיר שלילי</w:t>
      </w:r>
      <w:r>
        <w:rPr>
          <w:rtl w:val="true"/>
        </w:rPr>
        <w:t xml:space="preserve">, </w:t>
      </w:r>
      <w:r>
        <w:rPr>
          <w:rtl w:val="true"/>
        </w:rPr>
        <w:t>לפיו הנאשם חזר לשימוש אינטנסיבי בסם מסוג קנאביס ולא שיתף פעולה עם התהליך הטיפולי על אף נזקקות טיפולית ממצבו</w:t>
      </w:r>
      <w:r>
        <w:rPr>
          <w:rtl w:val="true"/>
        </w:rPr>
        <w:t xml:space="preserve">. </w:t>
      </w:r>
      <w:r>
        <w:rPr>
          <w:rtl w:val="true"/>
        </w:rPr>
        <w:t>שירות המבחן לא הגיש בעניינו של הנאשם המלצה שיקומית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חרף כל האמור</w:t>
      </w:r>
      <w:r>
        <w:rPr>
          <w:rtl w:val="true"/>
        </w:rPr>
        <w:t xml:space="preserve">, </w:t>
      </w:r>
      <w:r>
        <w:rPr>
          <w:rtl w:val="true"/>
        </w:rPr>
        <w:t>מצאתי להתעכב על הסיבה לחזרה של הנאשם לשימוש אינטנסיבי בסמים והיא חוזרת לטרגדיה משפחתית</w:t>
      </w:r>
      <w:r>
        <w:rPr>
          <w:rtl w:val="true"/>
        </w:rPr>
        <w:t xml:space="preserve">, </w:t>
      </w:r>
      <w:r>
        <w:rPr>
          <w:rtl w:val="true"/>
        </w:rPr>
        <w:t>לאחר שאחיו של הנאשם נרצח</w:t>
      </w:r>
      <w:r>
        <w:rPr>
          <w:rtl w:val="true"/>
        </w:rPr>
        <w:t xml:space="preserve">, </w:t>
      </w:r>
      <w:r>
        <w:rPr>
          <w:rtl w:val="true"/>
        </w:rPr>
        <w:t>לפני כחצי שנה</w:t>
      </w:r>
      <w:r>
        <w:rPr>
          <w:rtl w:val="true"/>
        </w:rPr>
        <w:t xml:space="preserve">, </w:t>
      </w:r>
      <w:r>
        <w:rPr>
          <w:rtl w:val="true"/>
        </w:rPr>
        <w:t>והדבר השפיע על מצב רוחו של הנאשם עד כדי משבר</w:t>
      </w:r>
      <w:r>
        <w:rPr>
          <w:rtl w:val="true"/>
        </w:rPr>
        <w:t xml:space="preserve">. </w:t>
      </w:r>
      <w:r>
        <w:rPr>
          <w:rtl w:val="true"/>
        </w:rPr>
        <w:t>כאן המקום להוסיף ולציין כי כתב האישום מייחס לנאשם החזקת סמים מסוג קוקאין</w:t>
      </w:r>
      <w:r>
        <w:rPr>
          <w:rtl w:val="true"/>
        </w:rPr>
        <w:t xml:space="preserve">, </w:t>
      </w:r>
      <w:r>
        <w:rPr>
          <w:rtl w:val="true"/>
        </w:rPr>
        <w:t>בעוד השימוש האינטנסיבי של הנאשם בסמים מסוג קנאביס</w:t>
      </w:r>
      <w:r>
        <w:rPr>
          <w:rtl w:val="true"/>
        </w:rPr>
        <w:t xml:space="preserve">, </w:t>
      </w:r>
      <w:r>
        <w:rPr>
          <w:rtl w:val="true"/>
        </w:rPr>
        <w:t>לטענת ההגנה – עקב כאבים עזים אשר בכוונת הנאשם לפנות לקבלת רישיון לשימוש בקנאביס רפואי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 של דבר</w:t>
      </w:r>
      <w:r>
        <w:rPr>
          <w:rtl w:val="true"/>
        </w:rPr>
        <w:t xml:space="preserve">, </w:t>
      </w:r>
      <w:r>
        <w:rPr>
          <w:rtl w:val="true"/>
        </w:rPr>
        <w:t>מצאתי לקבוע מתחם כולל שמתחיל 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ועד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כשתוך מתחם זה אני מתייחס להסכמה בין הצדדים לגבי עבירת החזקת הסכין </w:t>
      </w:r>
      <w:r>
        <w:rPr>
          <w:rtl w:val="true"/>
        </w:rPr>
        <w:t>(</w:t>
      </w:r>
      <w:r>
        <w:rPr>
          <w:rtl w:val="true"/>
        </w:rPr>
        <w:t>מאסר מותנה וקנס</w:t>
      </w:r>
      <w:r>
        <w:rPr>
          <w:rtl w:val="true"/>
        </w:rPr>
        <w:t xml:space="preserve">) </w:t>
      </w:r>
      <w:r>
        <w:rPr>
          <w:rtl w:val="true"/>
        </w:rPr>
        <w:t>שניתנה לפני הצירוף וללא קשר אליו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לקחתי בחשבון כאמור את גילו של הנאשם</w:t>
      </w:r>
      <w:r>
        <w:rPr>
          <w:rtl w:val="true"/>
        </w:rPr>
        <w:t xml:space="preserve">, </w:t>
      </w:r>
      <w:r>
        <w:rPr>
          <w:rtl w:val="true"/>
        </w:rPr>
        <w:t>היעדר תיקי 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החרטה שהביע</w:t>
      </w:r>
      <w:r>
        <w:rPr>
          <w:rtl w:val="true"/>
        </w:rPr>
        <w:t xml:space="preserve">, </w:t>
      </w:r>
      <w:r>
        <w:rPr>
          <w:rtl w:val="true"/>
        </w:rPr>
        <w:t>ההכרה בבעייתיות בשימוש בסמים ובעיקר – נסיבות אישיות ומשפחתיות כמפורט בהרחבה בתסקיר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 אלו הובילו אותי למסקנה שיש למקם את העונש ברף התחתון שבמתחם שקבעתי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לאור</w:t>
      </w:r>
      <w:r>
        <w:rPr>
          <w:rtl w:val="true"/>
        </w:rPr>
        <w:t xml:space="preserve"> המקבץ האמור</w:t>
      </w:r>
      <w:r>
        <w:rPr>
          <w:rtl w:val="true"/>
        </w:rPr>
        <w:t xml:space="preserve">, </w:t>
      </w:r>
      <w:r>
        <w:rPr>
          <w:rtl w:val="true"/>
        </w:rPr>
        <w:t xml:space="preserve">ולאחר שנתתי דעתי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ולטיעוני הצדדים</w:t>
      </w:r>
      <w:r>
        <w:rPr>
          <w:rtl w:val="true"/>
        </w:rPr>
        <w:t xml:space="preserve">, </w:t>
      </w:r>
      <w:r>
        <w:rPr>
          <w:rtl w:val="true"/>
        </w:rPr>
        <w:t>החלטתי לגזור על הנאשם את העונשים הבאים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14"/>
        </w:numPr>
        <w:spacing w:lineRule="auto" w:line="360" w:before="0" w:after="200"/>
        <w:ind w:hanging="360" w:start="1440" w:end="0"/>
        <w:contextualSpacing/>
        <w:jc w:val="both"/>
        <w:rPr/>
      </w:pPr>
      <w:r>
        <w:rPr>
          <w:rtl w:val="true"/>
        </w:rPr>
        <w:t xml:space="preserve">מאסר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אשר ירוצה בדרך של </w:t>
      </w:r>
      <w:r>
        <w:rPr>
          <w:b/>
          <w:b/>
          <w:bCs/>
          <w:u w:val="single"/>
          <w:rtl w:val="true"/>
        </w:rPr>
        <w:t>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בהתאם לחוות דעת </w:t>
      </w:r>
      <w:r>
        <w:rPr>
          <w:b/>
          <w:b/>
          <w:bCs/>
          <w:u w:val="single"/>
          <w:rtl w:val="true"/>
        </w:rPr>
        <w:t>הממונה</w:t>
      </w:r>
      <w:r>
        <w:rPr>
          <w:rtl w:val="true"/>
        </w:rPr>
        <w:t xml:space="preserve"> מיום </w:t>
      </w:r>
      <w:r>
        <w:rPr/>
        <w:t>08.06.2023</w:t>
      </w:r>
      <w:r>
        <w:rPr>
          <w:rtl w:val="true"/>
        </w:rPr>
        <w:t xml:space="preserve"> </w:t>
      </w:r>
      <w:r>
        <w:rPr>
          <w:rtl w:val="true"/>
        </w:rPr>
        <w:t xml:space="preserve">עבודות השירות תבוצענה </w:t>
      </w:r>
      <w:r>
        <w:rPr>
          <w:rtl w:val="true"/>
        </w:rPr>
        <w:t>"</w:t>
      </w:r>
      <w:r>
        <w:rPr>
          <w:rtl w:val="true"/>
        </w:rPr>
        <w:t>במרכז קהילתי רייך</w:t>
      </w:r>
      <w:r>
        <w:rPr>
          <w:rtl w:val="true"/>
        </w:rPr>
        <w:t xml:space="preserve">" </w:t>
      </w:r>
      <w:r>
        <w:rPr>
          <w:rtl w:val="true"/>
        </w:rPr>
        <w:t xml:space="preserve">בתל אביב ותחלנה ביום </w:t>
      </w:r>
      <w:r>
        <w:rPr/>
        <w:t>14.08.2023</w:t>
      </w:r>
      <w:r>
        <w:rPr>
          <w:rtl w:val="true"/>
        </w:rPr>
        <w:t xml:space="preserve"> </w:t>
      </w:r>
      <w:r>
        <w:rPr>
          <w:rtl w:val="true"/>
        </w:rPr>
        <w:t xml:space="preserve">הנאשם יתייצב במועד זה עד השעה </w:t>
      </w:r>
      <w:r>
        <w:rPr/>
        <w:t>8:30</w:t>
      </w:r>
      <w:r>
        <w:rPr>
          <w:rtl w:val="true"/>
        </w:rPr>
        <w:t xml:space="preserve"> </w:t>
      </w:r>
      <w:r>
        <w:rPr>
          <w:rtl w:val="true"/>
        </w:rPr>
        <w:t>בפני הממונה</w:t>
      </w:r>
      <w:r>
        <w:rPr>
          <w:rtl w:val="true"/>
        </w:rPr>
        <w:t xml:space="preserve">. </w:t>
      </w:r>
      <w:r>
        <w:rPr>
          <w:rtl w:val="true"/>
        </w:rPr>
        <w:t>הנאשם מוזהר כי הפרת הכללים במסגרת עבודות השירות תוביל לריצוי העונש במאסר בפועל מאחורי סורג ובריח</w:t>
      </w:r>
      <w:r>
        <w:rPr>
          <w:rtl w:val="true"/>
        </w:rPr>
        <w:t xml:space="preserve">. </w:t>
      </w:r>
    </w:p>
    <w:p>
      <w:pPr>
        <w:pStyle w:val="ListParagraph"/>
        <w:numPr>
          <w:ilvl w:val="1"/>
          <w:numId w:val="14"/>
        </w:numPr>
        <w:spacing w:lineRule="auto" w:line="360" w:before="0" w:after="200"/>
        <w:ind w:hanging="360" w:start="1440" w:end="0"/>
        <w:contextualSpacing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</w:t>
      </w:r>
      <w:r>
        <w:rPr>
          <w:b/>
          <w:b/>
          <w:bCs/>
          <w:u w:val="single"/>
          <w:rtl w:val="true"/>
        </w:rPr>
        <w:t>מאסר על תנאי</w:t>
      </w:r>
      <w:r>
        <w:rPr>
          <w:rtl w:val="true"/>
        </w:rPr>
        <w:t xml:space="preserve"> למשך שנתיים</w:t>
      </w:r>
      <w:r>
        <w:rPr>
          <w:rtl w:val="true"/>
        </w:rPr>
        <w:t xml:space="preserve">, </w:t>
      </w:r>
      <w:r>
        <w:rPr>
          <w:rtl w:val="true"/>
        </w:rPr>
        <w:t>שלא יעבור עבירת סמים מסוג פשע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14"/>
        </w:numPr>
        <w:spacing w:lineRule="auto" w:line="360" w:before="0" w:after="200"/>
        <w:ind w:hanging="360" w:start="1440" w:end="0"/>
        <w:contextualSpacing/>
        <w:jc w:val="both"/>
        <w:rPr/>
      </w:pPr>
      <w:r>
        <w:rPr>
          <w:rtl w:val="true"/>
        </w:rPr>
        <w:t xml:space="preserve">חודשיים </w:t>
      </w:r>
      <w:r>
        <w:rPr>
          <w:b/>
          <w:b/>
          <w:bCs/>
          <w:u w:val="single"/>
          <w:rtl w:val="true"/>
        </w:rPr>
        <w:t>מאסר על תנאי</w:t>
      </w:r>
      <w:r>
        <w:rPr>
          <w:rtl w:val="true"/>
        </w:rPr>
        <w:t xml:space="preserve"> למשך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 יעבור עבירת החזקת סכין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14"/>
        </w:numPr>
        <w:spacing w:lineRule="auto" w:line="360"/>
        <w:ind w:hanging="360" w:start="1440" w:end="0"/>
        <w:jc w:val="both"/>
        <w:rPr/>
      </w:pPr>
      <w:r>
        <w:rPr>
          <w:b/>
          <w:b/>
          <w:bCs/>
          <w:u w:val="single"/>
          <w:rtl w:val="true"/>
        </w:rPr>
        <w:t>קנס</w:t>
      </w:r>
      <w:r>
        <w:rPr>
          <w:rtl w:val="true"/>
        </w:rPr>
        <w:t xml:space="preserve"> בסך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עד ליום </w:t>
      </w:r>
      <w:r>
        <w:rPr/>
        <w:t>15.09.2023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14"/>
        </w:numPr>
        <w:spacing w:lineRule="auto" w:line="360" w:before="0" w:after="200"/>
        <w:ind w:hanging="360" w:start="1440"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פסילת רישיון נהיגה בפועל</w:t>
      </w:r>
      <w:r>
        <w:rPr>
          <w:rtl w:val="true"/>
        </w:rPr>
        <w:t xml:space="preserve"> למשך חצי שנה מהיום</w:t>
      </w:r>
      <w:r>
        <w:rPr>
          <w:rtl w:val="true"/>
        </w:rPr>
        <w:t xml:space="preserve">, </w:t>
      </w:r>
      <w:r>
        <w:rPr>
          <w:rtl w:val="true"/>
        </w:rPr>
        <w:t>רשמתי בפניי כי אין בידי הנאשם רישיון נהיגה להפקיד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14"/>
        </w:numPr>
        <w:spacing w:lineRule="auto" w:line="360" w:before="0" w:after="200"/>
        <w:ind w:hanging="360" w:start="1440" w:end="0"/>
        <w:contextualSpacing/>
        <w:jc w:val="both"/>
        <w:rPr/>
      </w:pPr>
      <w:r>
        <w:rPr>
          <w:b/>
          <w:b/>
          <w:bCs/>
          <w:u w:val="single"/>
          <w:rtl w:val="true"/>
        </w:rPr>
        <w:t xml:space="preserve">פסילת רישיון נהיגה לתקופה של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 תנאי למשך שנתיים</w:t>
      </w:r>
      <w:r>
        <w:rPr>
          <w:rtl w:val="true"/>
        </w:rPr>
        <w:t xml:space="preserve">, </w:t>
      </w:r>
      <w:r>
        <w:rPr>
          <w:rtl w:val="true"/>
        </w:rPr>
        <w:t>שלא יעבור עבירה לפי פקודת הסמים מסוג פשע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14"/>
        </w:numPr>
        <w:spacing w:lineRule="auto" w:line="360" w:before="0" w:after="200"/>
        <w:ind w:hanging="360" w:start="1440" w:end="0"/>
        <w:contextualSpacing/>
        <w:jc w:val="both"/>
        <w:rPr/>
      </w:pPr>
      <w:r>
        <w:rPr>
          <w:b/>
          <w:b/>
          <w:bCs/>
          <w:u w:val="single"/>
          <w:rtl w:val="true"/>
        </w:rPr>
        <w:t xml:space="preserve">חילוט מוסכם סך של </w:t>
      </w:r>
      <w:r>
        <w:rPr>
          <w:b/>
          <w:bCs/>
          <w:u w:val="single"/>
        </w:rPr>
        <w:t>2,100</w:t>
      </w:r>
      <w:r>
        <w:rPr>
          <w:b/>
          <w:bCs/>
          <w:u w:val="single"/>
          <w:rtl w:val="true"/>
        </w:rPr>
        <w:t xml:space="preserve"> ₪ </w:t>
      </w:r>
      <w:r>
        <w:rPr>
          <w:rtl w:val="true"/>
        </w:rPr>
        <w:t>שנתפסו על הנאשם וכן שלושה מכשירי טלפונים ניידים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ניתן יהיה לשלם את הקנס</w:t>
      </w:r>
      <w:r>
        <w:rPr>
          <w:rtl w:val="true"/>
          <w:lang w:eastAsia="he-IL"/>
        </w:rPr>
        <w:t xml:space="preserve">/ </w:t>
      </w:r>
      <w:r>
        <w:rPr>
          <w:rtl w:val="true"/>
          <w:lang w:eastAsia="he-IL"/>
        </w:rPr>
        <w:t>פיצוי</w:t>
      </w:r>
      <w:r>
        <w:rPr>
          <w:rtl w:val="true"/>
          <w:lang w:eastAsia="he-IL"/>
        </w:rPr>
        <w:t xml:space="preserve">/ </w:t>
      </w:r>
      <w:r>
        <w:rPr>
          <w:rtl w:val="true"/>
          <w:lang w:eastAsia="he-IL"/>
        </w:rPr>
        <w:t>ההוצאות כעבור שלושה ימים מיום מתן ההחלטה</w:t>
      </w:r>
      <w:r>
        <w:rPr>
          <w:rtl w:val="true"/>
          <w:lang w:eastAsia="he-IL"/>
        </w:rPr>
        <w:t xml:space="preserve">/  </w:t>
      </w:r>
      <w:r>
        <w:rPr>
          <w:rtl w:val="true"/>
          <w:lang w:eastAsia="he-IL"/>
        </w:rPr>
        <w:t>גזר הדין לחשבון המרכז לגביית קנסות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אגרות והוצאות ברשות האכיפה והגבייה באחת מהדרכים הבאות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0"/>
          <w:numId w:val="12"/>
        </w:numPr>
        <w:spacing w:lineRule="auto" w:line="360"/>
        <w:ind w:hanging="360" w:start="108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בכרטיס אשראי</w:t>
      </w:r>
      <w:r>
        <w:rPr>
          <w:rtl w:val="true"/>
          <w:lang w:eastAsia="he-IL"/>
        </w:rPr>
        <w:t xml:space="preserve"> – באתר המקוון של רשות האכיפה והגבייה</w:t>
      </w:r>
      <w:r>
        <w:rPr>
          <w:rtl w:val="true"/>
          <w:lang w:eastAsia="he-IL"/>
        </w:rPr>
        <w:t xml:space="preserve">, </w:t>
      </w:r>
      <w:hyperlink r:id="rId24">
        <w:r>
          <w:rPr>
            <w:rStyle w:val="Hyperlink"/>
            <w:lang w:eastAsia="he-IL"/>
          </w:rPr>
          <w:t>www.eca.gov.il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12"/>
        </w:numPr>
        <w:spacing w:lineRule="auto" w:line="360"/>
        <w:ind w:hanging="360" w:start="108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מוקד שירות טלפוני בשרות עצמי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מרכז גבייה</w:t>
      </w:r>
      <w:r>
        <w:rPr>
          <w:b/>
          <w:bCs/>
          <w:rtl w:val="true"/>
          <w:lang w:eastAsia="he-IL"/>
        </w:rPr>
        <w:t xml:space="preserve">)  – </w:t>
      </w:r>
      <w:r>
        <w:rPr>
          <w:b/>
          <w:b/>
          <w:bCs/>
          <w:rtl w:val="true"/>
          <w:lang w:eastAsia="he-IL"/>
        </w:rPr>
        <w:t xml:space="preserve">בטלפון </w:t>
      </w:r>
      <w:r>
        <w:rPr>
          <w:b/>
          <w:bCs/>
          <w:lang w:eastAsia="he-IL"/>
        </w:rPr>
        <w:t>35592</w:t>
      </w:r>
      <w:r>
        <w:rPr>
          <w:b/>
          <w:bCs/>
          <w:rtl w:val="true"/>
          <w:lang w:eastAsia="he-IL"/>
        </w:rPr>
        <w:t xml:space="preserve">* </w:t>
      </w:r>
      <w:r>
        <w:rPr>
          <w:b/>
          <w:b/>
          <w:bCs/>
          <w:rtl w:val="true"/>
          <w:lang w:eastAsia="he-IL"/>
        </w:rPr>
        <w:t xml:space="preserve">או בטלפון </w:t>
      </w:r>
      <w:r>
        <w:rPr>
          <w:b/>
          <w:bCs/>
          <w:lang w:eastAsia="he-IL"/>
        </w:rPr>
        <w:t>073-2055000</w:t>
      </w:r>
    </w:p>
    <w:p>
      <w:pPr>
        <w:pStyle w:val="Normal"/>
        <w:numPr>
          <w:ilvl w:val="0"/>
          <w:numId w:val="12"/>
        </w:numPr>
        <w:spacing w:lineRule="auto" w:line="360"/>
        <w:ind w:hanging="360" w:start="108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במזומן בכל סניף של בנק הדואר</w:t>
      </w:r>
      <w:r>
        <w:rPr>
          <w:rtl w:val="true"/>
          <w:lang w:eastAsia="he-IL"/>
        </w:rPr>
        <w:t xml:space="preserve"> – בהצגת תעודת זהות בלבד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אין צורך בשוברי תשלום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המזכירות וההגנה ישלחו העתק מפסק הדין לממונה על עבודות 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ניתן צו כללי למוצגים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המוצגים יחולטו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יושמדו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יושבו לבעליהם על פי החלטת קצין 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הכספים שהופקדו עבור הנאשם בתיקי 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ת קשורים יועברו לצורך תשלום הקנס ו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או הפיצוי שנפסקו בגזר דין זה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וככל שתיוותר יתרה היא תושב לידי המפקיד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בכפוף לכל עיקול או למגבלה אחרת על פי דין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לאחר קיזוז הקנס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זכות ערעור לבית משפט המחוזי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סיוון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18/06/2023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2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עלאא מסארווה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יעל</w:t>
      </w:r>
      <w:r>
        <w:rPr>
          <w:rtl w:val="true"/>
        </w:rPr>
        <w:t xml:space="preserve"> </w:t>
      </w:r>
      <w:r>
        <w:rPr>
          <w:rtl w:val="true"/>
        </w:rPr>
        <w:t>חיים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עלאא מסארווה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26"/>
      <w:footerReference w:type="default" r:id="rId27"/>
      <w:type w:val="nextPage"/>
      <w:pgSz w:w="11906" w:h="16838"/>
      <w:pgMar w:left="1800" w:right="1800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70552-06-20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חליל זתוניה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209"/>
        </w:tabs>
        <w:ind w:start="1209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643"/>
        </w:tabs>
        <w:ind w:start="643" w:hanging="360"/>
      </w:pPr>
      <w:rPr>
        <w:rFonts w:cs="Times New Roman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rFonts w:cs="Times New Roman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hebrew1"/>
      <w:lvlText w:val="%2."/>
      <w:lvlJc w:val="end"/>
      <w:pPr>
        <w:tabs>
          <w:tab w:val="num" w:pos="0"/>
        </w:tabs>
        <w:ind w:start="1440" w:hanging="360"/>
      </w:pPr>
      <w:rPr>
        <w:dstrike w:val="false"/>
        <w:strike w:val="false"/>
        <w:u w:val="none"/>
        <w:b/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70552-06-20"/>
    <w:docVar w:name="caseId" w:val="77522678"/>
    <w:docVar w:name="deriveClass" w:val="NGCS.Protocol.BL.Client.ProtocolBLClientCriminal"/>
    <w:docVar w:name="firstPageNumber" w:val="15"/>
    <w:docVar w:name="MyInfo" w:val="This document was extracted from Nevo's site"/>
    <w:docVar w:name="NGCS.caseInterestID" w:val="-1"/>
    <w:docVar w:name="NGCS.caseTypeID" w:val="-1"/>
    <w:docVar w:name="NGCS.courtID" w:val="32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3666592"/>
    <w:docVar w:name="releaseSign" w:val="0"/>
    <w:docVar w:name="sittingDateTime" w:val="18/06/2023 09:00     "/>
    <w:docVar w:name="sittingId" w:val="95119609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ind w:hanging="0" w:start="0" w:end="0"/>
      <w:jc w:val="start"/>
      <w:outlineLvl w:val="3"/>
    </w:pPr>
    <w:rPr>
      <w:rFonts w:ascii="Cambria" w:hAnsi="Cambria" w:eastAsia="David" w:cs="Times New Roman"/>
      <w:i/>
      <w:iCs/>
      <w:color w:val="365F9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hanging="0" w:start="0" w:end="0"/>
      <w:jc w:val="start"/>
      <w:outlineLvl w:val="4"/>
    </w:pPr>
    <w:rPr>
      <w:rFonts w:ascii="Cambria" w:hAnsi="Cambria" w:eastAsia="David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ind w:hanging="0" w:start="0" w:end="0"/>
      <w:jc w:val="start"/>
      <w:outlineLvl w:val="5"/>
    </w:pPr>
    <w:rPr>
      <w:rFonts w:ascii="Cambria" w:hAnsi="Cambria" w:eastAsia="David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ind w:hanging="0" w:start="0" w:end="0"/>
      <w:jc w:val="start"/>
      <w:outlineLvl w:val="6"/>
    </w:pPr>
    <w:rPr>
      <w:rFonts w:ascii="Cambria" w:hAnsi="Cambria" w:eastAsia="David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ind w:hanging="0" w:start="0" w:end="0"/>
      <w:jc w:val="start"/>
      <w:outlineLvl w:val="7"/>
    </w:pPr>
    <w:rPr>
      <w:rFonts w:ascii="Cambria" w:hAnsi="Cambria" w:eastAsia="David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ind w:hanging="0" w:start="0" w:end="0"/>
      <w:jc w:val="start"/>
      <w:outlineLvl w:val="8"/>
    </w:pPr>
    <w:rPr>
      <w:rFonts w:ascii="Cambria" w:hAnsi="Cambria" w:eastAsia="David" w:cs="Times New Roman"/>
      <w:i/>
      <w:iCs/>
      <w:color w:val="272727"/>
      <w:sz w:val="21"/>
      <w:szCs w:val="21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6z0">
    <w:name w:val="WW8Num26z0"/>
    <w:qFormat/>
    <w:rPr>
      <w:rFonts w:cs="Times New Roman"/>
    </w:rPr>
  </w:style>
  <w:style w:type="character" w:styleId="WW8Num27z0">
    <w:name w:val="WW8Num27z0"/>
    <w:qFormat/>
    <w:rPr>
      <w:rFonts w:cs="Times New Roman"/>
    </w:rPr>
  </w:style>
  <w:style w:type="character" w:styleId="WW8Num28z0">
    <w:name w:val="WW8Num28z0"/>
    <w:qFormat/>
    <w:rPr>
      <w:rFonts w:cs="Times New Roman"/>
    </w:rPr>
  </w:style>
  <w:style w:type="character" w:styleId="WW8Num29z0">
    <w:name w:val="WW8Num29z0"/>
    <w:qFormat/>
    <w:rPr>
      <w:rFonts w:cs="Times New Roman"/>
      <w:b w:val="false"/>
      <w:bCs w:val="false"/>
    </w:rPr>
  </w:style>
  <w:style w:type="character" w:styleId="WW8Num29z1">
    <w:name w:val="WW8Num29z1"/>
    <w:qFormat/>
    <w:rPr>
      <w:rFonts w:cs="Times New Roman"/>
    </w:rPr>
  </w:style>
  <w:style w:type="character" w:styleId="WW8Num30z0">
    <w:name w:val="WW8Num30z0"/>
    <w:qFormat/>
    <w:rPr>
      <w:rFonts w:cs="Times New Roman"/>
    </w:rPr>
  </w:style>
  <w:style w:type="character" w:styleId="WW8Num30z1">
    <w:name w:val="WW8Num30z1"/>
    <w:qFormat/>
    <w:rPr>
      <w:rFonts w:cs="Times New Roman"/>
      <w:b/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</w:rPr>
  </w:style>
  <w:style w:type="character" w:styleId="HTMLCode">
    <w:name w:val="HTML Code"/>
    <w:qFormat/>
    <w:rPr>
      <w:rFonts w:ascii="Consolas" w:hAnsi="Consolas" w:cs="Consolas"/>
      <w:sz w:val="20"/>
    </w:rPr>
  </w:style>
  <w:style w:type="character" w:styleId="HTMLDefinition">
    <w:name w:val="HTML Definition"/>
    <w:qFormat/>
    <w:rPr>
      <w:i/>
    </w:rPr>
  </w:style>
  <w:style w:type="character" w:styleId="HTMLVariable">
    <w:name w:val="HTML Variable"/>
    <w:qFormat/>
    <w:rPr>
      <w:i/>
    </w:rPr>
  </w:style>
  <w:style w:type="character" w:styleId="HTMLPreformattedChar">
    <w:name w:val="HTML Preformatted Char"/>
    <w:qFormat/>
    <w:rPr>
      <w:rFonts w:ascii="Consolas" w:hAnsi="Consolas" w:cs="Consolas"/>
    </w:rPr>
  </w:style>
  <w:style w:type="character" w:styleId="Hyperlink">
    <w:name w:val="Hyperlink"/>
    <w:rPr>
      <w:color w:val="0000FF"/>
      <w:u w:val="single"/>
    </w:rPr>
  </w:style>
  <w:style w:type="character" w:styleId="SalutationChar">
    <w:name w:val="Salutation Char"/>
    <w:qFormat/>
    <w:rPr>
      <w:sz w:val="24"/>
    </w:rPr>
  </w:style>
  <w:style w:type="character" w:styleId="BodyTextChar">
    <w:name w:val="Body Text Char"/>
    <w:qFormat/>
    <w:rPr>
      <w:sz w:val="24"/>
    </w:rPr>
  </w:style>
  <w:style w:type="character" w:styleId="BodyText2Char">
    <w:name w:val="Body Text 2 Char"/>
    <w:qFormat/>
    <w:rPr>
      <w:sz w:val="24"/>
    </w:rPr>
  </w:style>
  <w:style w:type="character" w:styleId="BodyText3Char">
    <w:name w:val="Body Text 3 Char"/>
    <w:qFormat/>
    <w:rPr>
      <w:sz w:val="16"/>
    </w:rPr>
  </w:style>
  <w:style w:type="character" w:styleId="HTMLSample">
    <w:name w:val="HTML Sample"/>
    <w:qFormat/>
    <w:rPr>
      <w:rFonts w:ascii="Consolas" w:hAnsi="Consolas" w:cs="Consolas"/>
      <w:sz w:val="24"/>
    </w:rPr>
  </w:style>
  <w:style w:type="character" w:styleId="Emphasis">
    <w:name w:val="Emphasis"/>
    <w:qFormat/>
    <w:rPr>
      <w:i/>
    </w:rPr>
  </w:style>
  <w:style w:type="character" w:styleId="IntenseEmphasis">
    <w:name w:val="Intense Emphasis"/>
    <w:qFormat/>
    <w:rPr>
      <w:i/>
      <w:color w:val="4F81BD"/>
    </w:rPr>
  </w:style>
  <w:style w:type="character" w:styleId="SubtleEmphasis">
    <w:name w:val="Subtle Emphasis"/>
    <w:qFormat/>
    <w:rPr>
      <w:i/>
      <w:color w:val="404040"/>
    </w:rPr>
  </w:style>
  <w:style w:type="character" w:styleId="IntenseReference">
    <w:name w:val="Intense Reference"/>
    <w:qFormat/>
    <w:rPr>
      <w:b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</w:rPr>
  </w:style>
  <w:style w:type="character" w:styleId="SignatureChar">
    <w:name w:val="Signature Char"/>
    <w:qFormat/>
    <w:rPr>
      <w:sz w:val="24"/>
    </w:rPr>
  </w:style>
  <w:style w:type="character" w:styleId="E-mailSignatureChar">
    <w:name w:val="E-mail Signature Char"/>
    <w:qFormat/>
    <w:rPr>
      <w:sz w:val="24"/>
    </w:rPr>
  </w:style>
  <w:style w:type="character" w:styleId="EndnoteTextChar">
    <w:name w:val="Endnote Text Char"/>
    <w:qFormat/>
    <w:rPr>
      <w:rFonts w:cs="Times New Roman"/>
    </w:rPr>
  </w:style>
  <w:style w:type="character" w:styleId="FootnoteTextChar">
    <w:name w:val="Footnote Text Char"/>
    <w:qFormat/>
    <w:rPr>
      <w:rFonts w:cs="Times New Roman"/>
    </w:rPr>
  </w:style>
  <w:style w:type="character" w:styleId="MacroTextChar">
    <w:name w:val="Macro Text Char"/>
    <w:qFormat/>
    <w:rPr>
      <w:rFonts w:ascii="Consolas" w:hAnsi="Consolas" w:cs="Consolas"/>
    </w:rPr>
  </w:style>
  <w:style w:type="character" w:styleId="PlainTextChar">
    <w:name w:val="Plain Text Char"/>
    <w:qFormat/>
    <w:rPr>
      <w:rFonts w:ascii="Consolas" w:hAnsi="Consolas" w:cs="Consolas"/>
      <w:sz w:val="21"/>
    </w:rPr>
  </w:style>
  <w:style w:type="character" w:styleId="BookTitle">
    <w:name w:val="Book Title"/>
    <w:qFormat/>
    <w:rPr>
      <w:b/>
      <w:i/>
      <w:spacing w:val="5"/>
    </w:rPr>
  </w:style>
  <w:style w:type="character" w:styleId="Heading4Char">
    <w:name w:val="Heading 4 Char"/>
    <w:qFormat/>
    <w:rPr>
      <w:rFonts w:ascii="Cambria" w:hAnsi="Cambria" w:cs="Cambria"/>
      <w:i/>
      <w:color w:val="365F91"/>
      <w:sz w:val="24"/>
    </w:rPr>
  </w:style>
  <w:style w:type="character" w:styleId="Heading5Char">
    <w:name w:val="Heading 5 Char"/>
    <w:qFormat/>
    <w:rPr>
      <w:rFonts w:ascii="Cambria" w:hAnsi="Cambria" w:cs="Cambria"/>
      <w:color w:val="365F91"/>
      <w:sz w:val="24"/>
    </w:rPr>
  </w:style>
  <w:style w:type="character" w:styleId="Heading6Char">
    <w:name w:val="Heading 6 Char"/>
    <w:qFormat/>
    <w:rPr>
      <w:rFonts w:ascii="Cambria" w:hAnsi="Cambria" w:cs="Cambria"/>
      <w:color w:val="243F60"/>
      <w:sz w:val="24"/>
    </w:rPr>
  </w:style>
  <w:style w:type="character" w:styleId="Heading7Char">
    <w:name w:val="Heading 7 Char"/>
    <w:qFormat/>
    <w:rPr>
      <w:rFonts w:ascii="Cambria" w:hAnsi="Cambria" w:cs="Cambria"/>
      <w:i/>
      <w:color w:val="243F60"/>
      <w:sz w:val="24"/>
    </w:rPr>
  </w:style>
  <w:style w:type="character" w:styleId="Heading8Char">
    <w:name w:val="Heading 8 Char"/>
    <w:qFormat/>
    <w:rPr>
      <w:rFonts w:ascii="Cambria" w:hAnsi="Cambria" w:cs="Cambria"/>
      <w:color w:val="272727"/>
      <w:sz w:val="21"/>
    </w:rPr>
  </w:style>
  <w:style w:type="character" w:styleId="Heading9Char">
    <w:name w:val="Heading 9 Char"/>
    <w:qFormat/>
    <w:rPr>
      <w:rFonts w:ascii="Cambria" w:hAnsi="Cambria" w:cs="Cambria"/>
      <w:i/>
      <w:color w:val="272727"/>
      <w:sz w:val="21"/>
    </w:rPr>
  </w:style>
  <w:style w:type="character" w:styleId="NoteHeadingChar">
    <w:name w:val="Note Heading Char"/>
    <w:qFormat/>
    <w:rPr>
      <w:sz w:val="24"/>
    </w:rPr>
  </w:style>
  <w:style w:type="character" w:styleId="TitleChar">
    <w:name w:val="Title Char"/>
    <w:qFormat/>
    <w:rPr>
      <w:rFonts w:ascii="Cambria" w:hAnsi="Cambria" w:cs="Cambria"/>
      <w:spacing w:val="-10"/>
      <w:kern w:val="2"/>
      <w:sz w:val="56"/>
    </w:rPr>
  </w:style>
  <w:style w:type="character" w:styleId="SubtitleChar">
    <w:name w:val="Subtitle Char"/>
    <w:qFormat/>
    <w:rPr>
      <w:rFonts w:ascii="Calibri" w:hAnsi="Calibri" w:cs="Calibri"/>
      <w:color w:val="5A5A5A"/>
      <w:spacing w:val="15"/>
      <w:sz w:val="22"/>
    </w:rPr>
  </w:style>
  <w:style w:type="character" w:styleId="MessageHeaderChar">
    <w:name w:val="Message Header Char"/>
    <w:qFormat/>
    <w:rPr>
      <w:rFonts w:ascii="Cambria" w:hAnsi="Cambria" w:cs="Cambria"/>
      <w:sz w:val="24"/>
      <w:shd w:fill="CCCCCC" w:val="clear"/>
    </w:rPr>
  </w:style>
  <w:style w:type="character" w:styleId="BodyTextIndentChar">
    <w:name w:val="Body Text Indent Char"/>
    <w:qFormat/>
    <w:rPr>
      <w:sz w:val="24"/>
    </w:rPr>
  </w:style>
  <w:style w:type="character" w:styleId="BodyTextIndent2Char">
    <w:name w:val="Body Text Indent 2 Char"/>
    <w:qFormat/>
    <w:rPr>
      <w:sz w:val="24"/>
    </w:rPr>
  </w:style>
  <w:style w:type="character" w:styleId="BodyTextIndent3Char">
    <w:name w:val="Body Text Indent 3 Char"/>
    <w:qFormat/>
    <w:rPr>
      <w:sz w:val="16"/>
    </w:rPr>
  </w:style>
  <w:style w:type="character" w:styleId="BodyTextFirstIndentChar">
    <w:name w:val="Body Text First Indent Char"/>
    <w:qFormat/>
    <w:rPr>
      <w:sz w:val="24"/>
    </w:rPr>
  </w:style>
  <w:style w:type="character" w:styleId="BodyTextFirstIndent2Char">
    <w:name w:val="Body Text First Indent 2 Char"/>
    <w:qFormat/>
    <w:rPr>
      <w:sz w:val="24"/>
    </w:rPr>
  </w:style>
  <w:style w:type="character" w:styleId="HTMLAddressChar">
    <w:name w:val="HTML Address Char"/>
    <w:qFormat/>
    <w:rPr>
      <w:i/>
      <w:sz w:val="24"/>
    </w:rPr>
  </w:style>
  <w:style w:type="character" w:styleId="HTMLTypewriter">
    <w:name w:val="HTML Typewriter"/>
    <w:qFormat/>
    <w:rPr>
      <w:rFonts w:ascii="Consolas" w:hAnsi="Consolas" w:cs="Consolas"/>
      <w:sz w:val="20"/>
    </w:rPr>
  </w:style>
  <w:style w:type="character" w:styleId="DocumentMapChar">
    <w:name w:val="Document Map Char"/>
    <w:qFormat/>
    <w:rPr>
      <w:rFonts w:ascii="Tahoma" w:hAnsi="Tahoma" w:cs="Tahoma"/>
      <w:sz w:val="16"/>
    </w:rPr>
  </w:style>
  <w:style w:type="character" w:styleId="HTMLKeyboard">
    <w:name w:val="HTML Keyboard"/>
    <w:qFormat/>
    <w:rPr>
      <w:rFonts w:ascii="Consolas" w:hAnsi="Consolas" w:cs="Consolas"/>
      <w:sz w:val="20"/>
    </w:rPr>
  </w:style>
  <w:style w:type="character" w:styleId="CommentTextChar">
    <w:name w:val="Comment Text Char"/>
    <w:qFormat/>
    <w:rPr>
      <w:rFonts w:ascii="Times New Roman" w:hAnsi="Times New Roman" w:cs="Times New Roman"/>
    </w:rPr>
  </w:style>
  <w:style w:type="character" w:styleId="CommentSubjectChar">
    <w:name w:val="Comment Subject Char"/>
    <w:qFormat/>
    <w:rPr>
      <w:rFonts w:ascii="Times New Roman" w:hAnsi="Times New Roman" w:cs="Times New Roman"/>
      <w:b/>
    </w:rPr>
  </w:style>
  <w:style w:type="character" w:styleId="ClosingChar">
    <w:name w:val="Closing Char"/>
    <w:qFormat/>
    <w:rPr>
      <w:sz w:val="24"/>
    </w:rPr>
  </w:style>
  <w:style w:type="character" w:styleId="QuoteChar">
    <w:name w:val="Quote Char"/>
    <w:qFormat/>
    <w:rPr>
      <w:i/>
      <w:color w:val="404040"/>
      <w:sz w:val="24"/>
    </w:rPr>
  </w:style>
  <w:style w:type="character" w:styleId="IntenseQuoteChar">
    <w:name w:val="Intense Quote Char"/>
    <w:qFormat/>
    <w:rPr>
      <w:i/>
      <w:color w:val="4F81BD"/>
      <w:sz w:val="24"/>
    </w:rPr>
  </w:style>
  <w:style w:type="character" w:styleId="HTMLAcronym">
    <w:name w:val="HTML Acronym"/>
    <w:qFormat/>
    <w:rPr>
      <w:rFonts w:cs="Times New Roman"/>
    </w:rPr>
  </w:style>
  <w:style w:type="character" w:styleId="DateChar">
    <w:name w:val="Date Char"/>
    <w:qFormat/>
    <w:rPr>
      <w:sz w:val="24"/>
    </w:rPr>
  </w:style>
  <w:style w:type="character" w:styleId="BalloonTextChar">
    <w:name w:val="Balloon Text Char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Normal"/>
    <w:qFormat/>
    <w:pPr>
      <w:spacing w:before="0" w:after="0"/>
      <w:ind w:hanging="0" w:start="0" w:end="0"/>
      <w:contextualSpacing/>
      <w:jc w:val="start"/>
    </w:pPr>
    <w:rPr>
      <w:rFonts w:ascii="Cambria" w:hAnsi="Cambria" w:eastAsia="David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  <w:ind w:hanging="0" w:start="0" w:end="0"/>
      <w:jc w:val="start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  <w:jc w:val="start"/>
    </w:pPr>
    <w:rPr/>
  </w:style>
  <w:style w:type="paragraph" w:styleId="Caption">
    <w:name w:val="caption"/>
    <w:basedOn w:val="Normal"/>
    <w:next w:val="Normal"/>
    <w:qFormat/>
    <w:pPr>
      <w:spacing w:before="0" w:after="200"/>
      <w:ind w:hanging="0" w:start="0" w:end="0"/>
      <w:jc w:val="start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HTMLPreformatted">
    <w:name w:val="HTML Preformatted"/>
    <w:basedOn w:val="Normal"/>
    <w:qFormat/>
    <w:pPr>
      <w:ind w:hanging="0" w:start="0" w:end="0"/>
      <w:jc w:val="start"/>
    </w:pPr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  <w:jc w:val="start"/>
    </w:pPr>
    <w:rPr/>
  </w:style>
  <w:style w:type="paragraph" w:styleId="Index2">
    <w:name w:val="index 2"/>
    <w:basedOn w:val="Normal"/>
    <w:next w:val="Normal"/>
    <w:pPr>
      <w:ind w:hanging="240" w:start="480" w:end="0"/>
      <w:jc w:val="start"/>
    </w:pPr>
    <w:rPr/>
  </w:style>
  <w:style w:type="paragraph" w:styleId="Index3">
    <w:name w:val="index 3"/>
    <w:basedOn w:val="Normal"/>
    <w:next w:val="Normal"/>
    <w:pPr>
      <w:ind w:hanging="240" w:start="720" w:end="0"/>
      <w:jc w:val="start"/>
    </w:pPr>
    <w:rPr/>
  </w:style>
  <w:style w:type="paragraph" w:styleId="Index4">
    <w:name w:val="Index 4"/>
    <w:basedOn w:val="Normal"/>
    <w:next w:val="Normal"/>
    <w:qFormat/>
    <w:pPr>
      <w:ind w:hanging="240" w:start="960" w:end="0"/>
      <w:jc w:val="start"/>
    </w:pPr>
    <w:rPr/>
  </w:style>
  <w:style w:type="paragraph" w:styleId="Index5">
    <w:name w:val="Index 5"/>
    <w:basedOn w:val="Normal"/>
    <w:next w:val="Normal"/>
    <w:qFormat/>
    <w:pPr>
      <w:ind w:hanging="240" w:start="1200" w:end="0"/>
      <w:jc w:val="start"/>
    </w:pPr>
    <w:rPr/>
  </w:style>
  <w:style w:type="paragraph" w:styleId="Index6">
    <w:name w:val="Index 6"/>
    <w:basedOn w:val="Normal"/>
    <w:next w:val="Normal"/>
    <w:qFormat/>
    <w:pPr>
      <w:ind w:hanging="240" w:start="1440" w:end="0"/>
      <w:jc w:val="start"/>
    </w:pPr>
    <w:rPr/>
  </w:style>
  <w:style w:type="paragraph" w:styleId="Index7">
    <w:name w:val="Index 7"/>
    <w:basedOn w:val="Normal"/>
    <w:next w:val="Normal"/>
    <w:qFormat/>
    <w:pPr>
      <w:ind w:hanging="240" w:start="1680" w:end="0"/>
      <w:jc w:val="start"/>
    </w:pPr>
    <w:rPr/>
  </w:style>
  <w:style w:type="paragraph" w:styleId="Index8">
    <w:name w:val="Index 8"/>
    <w:basedOn w:val="Normal"/>
    <w:next w:val="Normal"/>
    <w:qFormat/>
    <w:pPr>
      <w:ind w:hanging="240" w:start="1920" w:end="0"/>
      <w:jc w:val="start"/>
    </w:pPr>
    <w:rPr/>
  </w:style>
  <w:style w:type="paragraph" w:styleId="Index9">
    <w:name w:val="Index 9"/>
    <w:basedOn w:val="Normal"/>
    <w:next w:val="Normal"/>
    <w:qFormat/>
    <w:pPr>
      <w:ind w:hanging="240" w:start="2160" w:end="0"/>
      <w:jc w:val="start"/>
    </w:pPr>
    <w:rPr/>
  </w:style>
  <w:style w:type="paragraph" w:styleId="NormalWeb">
    <w:name w:val="Normal (Web)"/>
    <w:basedOn w:val="Normal"/>
    <w:qFormat/>
    <w:pPr>
      <w:ind w:hanging="0" w:start="0" w:end="0"/>
      <w:jc w:val="start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pPr>
      <w:spacing w:before="0" w:after="100"/>
      <w:ind w:hanging="0" w:start="0" w:end="0"/>
      <w:jc w:val="start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  <w:jc w:val="start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  <w:jc w:val="start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  <w:jc w:val="start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  <w:jc w:val="start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  <w:jc w:val="start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  <w:jc w:val="start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  <w:jc w:val="start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  <w:jc w:val="start"/>
    </w:pPr>
    <w:rPr/>
  </w:style>
  <w:style w:type="paragraph" w:styleId="Bibliography">
    <w:name w:val="Bibliography"/>
    <w:basedOn w:val="Normal"/>
    <w:next w:val="Normal"/>
    <w:qFormat/>
    <w:pPr>
      <w:ind w:hanging="0" w:start="0" w:end="0"/>
      <w:jc w:val="start"/>
    </w:pPr>
    <w:rPr/>
  </w:style>
  <w:style w:type="paragraph" w:styleId="Salutation">
    <w:name w:val="Salutation"/>
    <w:basedOn w:val="Normal"/>
    <w:next w:val="Normal"/>
    <w:qFormat/>
    <w:pPr>
      <w:ind w:hanging="0" w:start="0" w:end="0"/>
      <w:jc w:val="start"/>
    </w:pPr>
    <w:rPr/>
  </w:style>
  <w:style w:type="paragraph" w:styleId="BodyText2">
    <w:name w:val="Body Text 2"/>
    <w:basedOn w:val="Normal"/>
    <w:qFormat/>
    <w:pPr>
      <w:spacing w:lineRule="auto" w:line="480" w:before="0" w:after="120"/>
      <w:ind w:hanging="0" w:start="0" w:end="0"/>
      <w:jc w:val="start"/>
    </w:pPr>
    <w:rPr/>
  </w:style>
  <w:style w:type="paragraph" w:styleId="BodyText3">
    <w:name w:val="Body Text 3"/>
    <w:basedOn w:val="Normal"/>
    <w:qFormat/>
    <w:pPr>
      <w:spacing w:before="0" w:after="120"/>
      <w:ind w:hanging="0" w:start="0" w:end="0"/>
      <w:jc w:val="start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  <w:jc w:val="start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  <w:jc w:val="start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  <w:jc w:val="start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  <w:jc w:val="start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  <w:jc w:val="start"/>
    </w:pPr>
    <w:rPr/>
  </w:style>
  <w:style w:type="paragraph" w:styleId="Signature">
    <w:name w:val="Signature"/>
    <w:basedOn w:val="Normal"/>
    <w:pPr>
      <w:ind w:hanging="0" w:start="4252" w:end="0"/>
      <w:jc w:val="start"/>
    </w:pPr>
    <w:rPr/>
  </w:style>
  <w:style w:type="paragraph" w:styleId="E-mailSignature">
    <w:name w:val="E-mail Signature"/>
    <w:basedOn w:val="Normal"/>
    <w:qFormat/>
    <w:pPr>
      <w:ind w:hanging="0" w:start="0" w:end="0"/>
      <w:jc w:val="start"/>
    </w:pPr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  <w:jc w:val="start"/>
    </w:pPr>
    <w:rPr>
      <w:rFonts w:ascii="Calibri" w:hAnsi="Calibri" w:eastAsia="David" w:cs="Arial"/>
      <w:i/>
      <w:iCs/>
      <w:color w:val="4F81BD"/>
    </w:rPr>
  </w:style>
  <w:style w:type="paragraph" w:styleId="EndnoteText">
    <w:name w:val="endnote text"/>
    <w:basedOn w:val="Normal"/>
    <w:pPr>
      <w:ind w:hanging="0" w:start="0" w:end="0"/>
      <w:jc w:val="start"/>
    </w:pPr>
    <w:rPr>
      <w:sz w:val="20"/>
      <w:szCs w:val="20"/>
    </w:rPr>
  </w:style>
  <w:style w:type="paragraph" w:styleId="FootnoteText">
    <w:name w:val="footnote text"/>
    <w:basedOn w:val="Normal"/>
    <w:pPr>
      <w:ind w:hanging="0" w:start="0" w:end="0"/>
      <w:jc w:val="start"/>
    </w:pPr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>
      <w:ind w:hanging="0" w:start="0" w:end="0"/>
      <w:jc w:val="start"/>
    </w:pPr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>
      <w:ind w:hanging="0" w:start="0" w:end="0"/>
      <w:jc w:val="start"/>
    </w:pPr>
    <w:rPr>
      <w:rFonts w:ascii="Cambria" w:hAnsi="Cambria" w:eastAsia="David" w:cs="Times New Roman"/>
      <w:b/>
      <w:bCs/>
    </w:rPr>
  </w:style>
  <w:style w:type="paragraph" w:styleId="NoteHeading">
    <w:name w:val="Note Heading"/>
    <w:basedOn w:val="Normal"/>
    <w:next w:val="Normal"/>
    <w:qFormat/>
    <w:pPr>
      <w:ind w:hanging="0" w:start="0" w:end="0"/>
      <w:jc w:val="start"/>
    </w:pPr>
    <w:rPr/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spacing w:before="0" w:after="160"/>
      <w:ind w:hanging="0" w:start="0" w:end="0"/>
      <w:jc w:val="start"/>
    </w:pPr>
    <w:rPr>
      <w:rFonts w:ascii="Calibri" w:hAnsi="Calibri" w:eastAsia="David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  <w:jc w:val="start"/>
    </w:pPr>
    <w:rPr>
      <w:rFonts w:ascii="Cambria" w:hAnsi="Cambria" w:eastAsia="David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  <w:ind w:hanging="0" w:start="0" w:end="0"/>
      <w:jc w:val="start"/>
    </w:pPr>
    <w:rPr>
      <w:rFonts w:ascii="Cambria" w:hAnsi="Cambria" w:eastAsia="David" w:cs="Times New Roman"/>
      <w:b/>
      <w:bCs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 w:end="0"/>
      <w:jc w:val="start"/>
      <w:outlineLvl w:val="9"/>
    </w:pPr>
    <w:rPr>
      <w:rFonts w:ascii="Cambria" w:hAnsi="Cambria" w:eastAsia="David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  <w:jc w:val="start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  <w:jc w:val="start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  <w:jc w:val="start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  <w:jc w:val="start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  <w:jc w:val="start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  <w:jc w:val="start"/>
    </w:pPr>
    <w:rPr/>
  </w:style>
  <w:style w:type="paragraph" w:styleId="HTMLAddress">
    <w:name w:val="HTML Address"/>
    <w:basedOn w:val="Normal"/>
    <w:qFormat/>
    <w:pPr>
      <w:ind w:hanging="0" w:start="0" w:end="0"/>
      <w:jc w:val="start"/>
    </w:pPr>
    <w:rPr>
      <w:i/>
      <w:iCs/>
    </w:rPr>
  </w:style>
  <w:style w:type="paragraph" w:styleId="EnvelopeAddress">
    <w:name w:val="envelope address"/>
    <w:basedOn w:val="Normal"/>
    <w:pPr>
      <w:ind w:hanging="0" w:start="2880" w:end="0"/>
      <w:jc w:val="start"/>
    </w:pPr>
    <w:rPr>
      <w:rFonts w:ascii="Cambria" w:hAnsi="Cambria" w:eastAsia="David" w:cs="Times New Roman"/>
    </w:rPr>
  </w:style>
  <w:style w:type="paragraph" w:styleId="EnvelopeReturn">
    <w:name w:val="envelope return"/>
    <w:basedOn w:val="Normal"/>
    <w:pPr>
      <w:ind w:hanging="0" w:start="0" w:end="0"/>
      <w:jc w:val="start"/>
    </w:pPr>
    <w:rPr>
      <w:rFonts w:ascii="Cambria" w:hAnsi="Cambria" w:eastAsia="David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rFonts w:ascii="David" w:hAnsi="David" w:eastAsia="Times New Roman" w:cs="David"/>
      <w:b/>
      <w:bCs/>
    </w:rPr>
  </w:style>
  <w:style w:type="paragraph" w:styleId="Closing">
    <w:name w:val="Closing"/>
    <w:basedOn w:val="Normal"/>
    <w:qFormat/>
    <w:pPr>
      <w:ind w:hanging="0" w:start="4252" w:end="0"/>
      <w:jc w:val="start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  <w:jc w:val="start"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  <w:jc w:val="start"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  <w:jc w:val="start"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  <w:jc w:val="start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ind w:hanging="0" w:start="360" w:end="0"/>
      <w:contextualSpacing/>
      <w:jc w:val="start"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ind w:hanging="0" w:start="643" w:end="0"/>
      <w:contextualSpacing/>
      <w:jc w:val="start"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ind w:hanging="0" w:start="926" w:end="0"/>
      <w:contextualSpacing/>
      <w:jc w:val="start"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ind w:hanging="0" w:start="1209" w:end="0"/>
      <w:contextualSpacing/>
      <w:jc w:val="start"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ind w:hanging="0" w:start="1492" w:end="0"/>
      <w:contextualSpacing/>
      <w:jc w:val="start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ind w:hanging="0" w:start="360" w:end="0"/>
      <w:contextualSpacing/>
      <w:jc w:val="start"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ind w:hanging="0" w:start="643" w:end="0"/>
      <w:contextualSpacing/>
      <w:jc w:val="start"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ind w:hanging="0" w:start="926" w:end="0"/>
      <w:contextualSpacing/>
      <w:jc w:val="start"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ind w:hanging="0" w:start="1209" w:end="0"/>
      <w:contextualSpacing/>
      <w:jc w:val="start"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ind w:hanging="0" w:start="1492" w:end="0"/>
      <w:contextualSpacing/>
      <w:jc w:val="start"/>
    </w:pPr>
    <w:rPr/>
  </w:style>
  <w:style w:type="paragraph" w:styleId="TableofFigures">
    <w:name w:val="Table of Figures"/>
    <w:basedOn w:val="Normal"/>
    <w:next w:val="Normal"/>
    <w:qFormat/>
    <w:pPr>
      <w:ind w:hanging="0" w:start="0" w:end="0"/>
      <w:jc w:val="start"/>
    </w:pPr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  <w:jc w:val="start"/>
    </w:pPr>
    <w:rPr/>
  </w:style>
  <w:style w:type="paragraph" w:styleId="Date">
    <w:name w:val="Date"/>
    <w:basedOn w:val="Normal"/>
    <w:next w:val="Normal"/>
    <w:qFormat/>
    <w:pPr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case/26018528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6265593" TargetMode="External"/><Relationship Id="rId15" Type="http://schemas.openxmlformats.org/officeDocument/2006/relationships/hyperlink" Target="http://www.nevo.co.il/case/20299976" TargetMode="External"/><Relationship Id="rId16" Type="http://schemas.openxmlformats.org/officeDocument/2006/relationships/hyperlink" Target="http://www.nevo.co.il/case/6602104" TargetMode="External"/><Relationship Id="rId17" Type="http://schemas.openxmlformats.org/officeDocument/2006/relationships/hyperlink" Target="http://www.nevo.co.il/case/23656815" TargetMode="External"/><Relationship Id="rId18" Type="http://schemas.openxmlformats.org/officeDocument/2006/relationships/hyperlink" Target="http://www.nevo.co.il/case/24360947" TargetMode="External"/><Relationship Id="rId19" Type="http://schemas.openxmlformats.org/officeDocument/2006/relationships/hyperlink" Target="http://www.nevo.co.il/case/26059631" TargetMode="External"/><Relationship Id="rId20" Type="http://schemas.openxmlformats.org/officeDocument/2006/relationships/hyperlink" Target="http://www.nevo.co.il/case/27434825" TargetMode="External"/><Relationship Id="rId21" Type="http://schemas.openxmlformats.org/officeDocument/2006/relationships/hyperlink" Target="http://www.nevo.co.il/case/3665202" TargetMode="External"/><Relationship Id="rId22" Type="http://schemas.openxmlformats.org/officeDocument/2006/relationships/hyperlink" Target="http://www.nevo.co.il/case/828272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eca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2024-04-04T12:04:00Z</dcterms:created>
  <dc:creator> </dc:creator>
  <dc:description/>
  <cp:keywords/>
  <dc:language>en-IL</dc:language>
  <cp:lastModifiedBy>h1</cp:lastModifiedBy>
  <cp:lastPrinted>2023-06-18T11:13:00Z</cp:lastPrinted>
  <dcterms:modified xsi:type="dcterms:W3CDTF">2024-04-04T12:04:00Z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חליל זתוניה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26018528;26265593;20299976;6602104;23656815;24360947;26059631;27434825;3665202;8282723</vt:lpwstr>
  </property>
  <property fmtid="{D5CDD505-2E9C-101B-9397-08002B2CF9AE}" pid="9" name="CITY">
    <vt:lpwstr>ת"א</vt:lpwstr>
  </property>
  <property fmtid="{D5CDD505-2E9C-101B-9397-08002B2CF9AE}" pid="10" name="DATE">
    <vt:lpwstr>20230618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עלאא מסארווה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70301/186.a</vt:lpwstr>
  </property>
  <property fmtid="{D5CDD505-2E9C-101B-9397-08002B2CF9AE}" pid="16" name="LAWYER">
    <vt:lpwstr>מוטי חבה;שירלי אקרמן;פולינה סורין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70552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380020230618</vt:lpwstr>
  </property>
  <property fmtid="{D5CDD505-2E9C-101B-9397-08002B2CF9AE}" pid="35" name="TYPE_N_DATE">
    <vt:lpwstr>38020230618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