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375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33"/>
        <w:gridCol w:w="425"/>
        <w:gridCol w:w="1499"/>
      </w:tblGrid>
      <w:tr>
        <w:trPr>
          <w:trHeight w:val="418" w:hRule="exact"/>
        </w:trPr>
        <w:tc>
          <w:tcPr>
            <w:tcW w:w="3757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בחיפה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183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7077-08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חיפה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זיני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2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49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30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דצמבר </w:t>
            </w:r>
            <w:r>
              <w:rPr>
                <w:b/>
                <w:bCs/>
                <w:sz w:val="26"/>
                <w:szCs w:val="26"/>
              </w:rPr>
              <w:t>2008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start"/>
        <w:rPr>
          <w:vanish/>
        </w:rPr>
      </w:pPr>
      <w:r>
        <w:rPr>
          <w:vanish/>
          <w:rtl w:val="true"/>
        </w:rPr>
      </w:r>
      <w:bookmarkStart w:id="1" w:name="FirstAppellant"/>
      <w:bookmarkStart w:id="2" w:name="FirstAppellant"/>
      <w:bookmarkEnd w:id="2"/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end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&lt;&lt;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               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חיפה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נאש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&lt;&lt;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מנשה זיני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,  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 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</w:rPr>
              <w:t>xxxxxxxxx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אילנה רויטבלט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 w:val="false"/>
          <w:bCs w:val="false"/>
          <w:u w:val="none"/>
          <w:rtl w:val="true"/>
        </w:rPr>
        <w:t xml:space="preserve">פיקוס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כ הנאשם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ראיד מחאמיד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בעצמו באמצעות הליווי </w:t>
      </w:r>
      <w:bookmarkStart w:id="4" w:name="LawTable"/>
      <w:bookmarkEnd w:id="4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</w:rPr>
      </w:pPr>
      <w:hyperlink r:id="rId2"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חוק העונשין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 xml:space="preserve">, 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תשל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"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ז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-</w:t>
        </w:r>
        <w:r>
          <w:rPr>
            <w:rStyle w:val="Hyperlink"/>
            <w:rFonts w:eastAsia="David" w:cs="FrankRuehl" w:ascii="FrankRuehl" w:hAnsi="FrankRuehl"/>
            <w:b/>
            <w:bCs/>
          </w:rPr>
          <w:t>1977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'  </w:t>
      </w:r>
      <w:hyperlink r:id="rId3">
        <w:r>
          <w:rPr>
            <w:rStyle w:val="Hyperlink"/>
            <w:rFonts w:eastAsia="David" w:cs="FrankRuehl" w:ascii="FrankRuehl" w:hAnsi="FrankRuehl"/>
            <w:b/>
            <w:bCs/>
          </w:rPr>
          <w:t>29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4">
        <w:r>
          <w:rPr>
            <w:rStyle w:val="Hyperlink"/>
            <w:rFonts w:eastAsia="David" w:cs="FrankRuehl" w:ascii="FrankRuehl" w:hAnsi="FrankRuehl"/>
            <w:b/>
            <w:bCs/>
          </w:rPr>
          <w:t>144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5">
        <w:r>
          <w:rPr>
            <w:rStyle w:val="Hyperlink"/>
            <w:rFonts w:eastAsia="David" w:cs="FrankRuehl" w:ascii="FrankRuehl" w:hAnsi="FrankRuehl"/>
            <w:b/>
            <w:bCs/>
          </w:rPr>
          <w:t>144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א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6"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ב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7">
        <w:r>
          <w:rPr>
            <w:rStyle w:val="Hyperlink"/>
            <w:rFonts w:eastAsia="David" w:cs="FrankRuehl" w:ascii="FrankRuehl" w:hAnsi="FrankRuehl"/>
            <w:b/>
            <w:bCs/>
          </w:rPr>
          <w:t>144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ב</w:t>
        </w:r>
        <w:r>
          <w:rPr>
            <w:rStyle w:val="Hyperlink"/>
            <w:rFonts w:eastAsia="David" w:cs="FrankRuehl" w:ascii="FrankRuehl" w:hAnsi="FrankRuehl"/>
            <w:b/>
            <w:bCs/>
          </w:rPr>
          <w:t>2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8">
        <w:r>
          <w:rPr>
            <w:rStyle w:val="Hyperlink"/>
            <w:rFonts w:eastAsia="David" w:cs="FrankRuehl" w:ascii="FrankRuehl" w:hAnsi="FrankRuehl"/>
            <w:b/>
            <w:bCs/>
          </w:rPr>
          <w:t>406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9">
        <w:r>
          <w:rPr>
            <w:rStyle w:val="Hyperlink"/>
            <w:rFonts w:eastAsia="David" w:cs="FrankRuehl" w:ascii="FrankRuehl" w:hAnsi="FrankRuehl"/>
            <w:b/>
            <w:bCs/>
          </w:rPr>
          <w:t>406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ב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10">
        <w:r>
          <w:rPr>
            <w:rStyle w:val="Hyperlink"/>
            <w:rFonts w:eastAsia="David" w:cs="FrankRuehl" w:ascii="FrankRuehl" w:hAnsi="FrankRuehl"/>
            <w:b/>
            <w:bCs/>
          </w:rPr>
          <w:t>448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11">
        <w:r>
          <w:rPr>
            <w:rStyle w:val="Hyperlink"/>
            <w:rFonts w:eastAsia="David" w:cs="FrankRuehl" w:ascii="FrankRuehl" w:hAnsi="FrankRuehl"/>
            <w:b/>
            <w:bCs/>
          </w:rPr>
          <w:t>449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12">
        <w:r>
          <w:rPr>
            <w:rStyle w:val="Hyperlink"/>
            <w:rFonts w:eastAsia="David" w:cs="FrankRuehl" w:ascii="FrankRuehl" w:hAnsi="FrankRuehl"/>
            <w:b/>
            <w:bCs/>
          </w:rPr>
          <w:t>449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א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5" w:name="LawTable_End"/>
      <w:bookmarkStart w:id="6" w:name="LawTable_End"/>
      <w:bookmarkEnd w:id="6"/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40"/>
          <w:szCs w:val="40"/>
          <w:u w:val="none"/>
        </w:rPr>
      </w:pPr>
      <w:r>
        <w:rPr>
          <w:rFonts w:cs="Arial" w:ascii="Arial" w:hAnsi="Arial"/>
          <w:b/>
          <w:bCs/>
          <w:sz w:val="40"/>
          <w:szCs w:val="40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cs="Arial" w:ascii="Arial" w:hAnsi="Arial"/>
          <w:b/>
          <w:bCs/>
          <w:sz w:val="40"/>
          <w:szCs w:val="40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cs="Arial" w:ascii="Arial" w:hAnsi="Arial"/>
          <w:b/>
          <w:bCs/>
          <w:sz w:val="40"/>
          <w:szCs w:val="40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40"/>
          <w:sz w:val="40"/>
          <w:szCs w:val="40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cs="Arial" w:ascii="Arial" w:hAnsi="Arial"/>
          <w:b/>
          <w:bCs/>
          <w:sz w:val="40"/>
          <w:szCs w:val="40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האישום</w:t>
      </w:r>
      <w:r>
        <w:rPr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0" w:name="ABSTRACT_START"/>
      <w:bookmarkEnd w:id="10"/>
      <w:r>
        <w:rPr>
          <w:rtl w:val="true"/>
        </w:rPr>
        <w:t>בכתב אישום מתוקן</w:t>
      </w:r>
      <w:r>
        <w:rPr>
          <w:rtl w:val="true"/>
        </w:rPr>
        <w:t xml:space="preserve">, </w:t>
      </w:r>
      <w:r>
        <w:rPr>
          <w:rtl w:val="true"/>
        </w:rPr>
        <w:t xml:space="preserve">אשר הוגש במסגרת הסדר טיעון </w:t>
      </w:r>
      <w:r>
        <w:rPr>
          <w:rtl w:val="true"/>
        </w:rPr>
        <w:t>(</w:t>
      </w:r>
      <w:r>
        <w:rPr>
          <w:rtl w:val="true"/>
        </w:rPr>
        <w:t>ללא הסדר לעניין העונש</w:t>
      </w:r>
      <w:r>
        <w:rPr>
          <w:rtl w:val="true"/>
        </w:rPr>
        <w:t xml:space="preserve">), </w:t>
      </w:r>
      <w:r>
        <w:rPr>
          <w:rtl w:val="true"/>
        </w:rPr>
        <w:t>הואשם הנאשם בשני אישומים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 פי האישום הראשון</w:t>
      </w:r>
      <w:r>
        <w:rPr>
          <w:rtl w:val="true"/>
        </w:rPr>
        <w:t xml:space="preserve">, </w:t>
      </w:r>
      <w:r>
        <w:rPr>
          <w:rtl w:val="true"/>
        </w:rPr>
        <w:t>קשר הנאשם</w:t>
      </w:r>
      <w:r>
        <w:rPr>
          <w:rtl w:val="true"/>
        </w:rPr>
        <w:t xml:space="preserve">, </w:t>
      </w:r>
      <w:r>
        <w:rPr>
          <w:rtl w:val="true"/>
        </w:rPr>
        <w:t xml:space="preserve">יליד </w:t>
      </w:r>
      <w:r>
        <w:rPr/>
        <w:t>1988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ביחד עם אחר</w:t>
      </w:r>
      <w:r>
        <w:rPr>
          <w:rtl w:val="true"/>
        </w:rPr>
        <w:t xml:space="preserve">, </w:t>
      </w:r>
      <w:r>
        <w:rPr>
          <w:rtl w:val="true"/>
        </w:rPr>
        <w:t xml:space="preserve">בשם איליה ספקטור מלכה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האחר</w:t>
      </w:r>
      <w:r>
        <w:rPr>
          <w:rtl w:val="true"/>
        </w:rPr>
        <w:t xml:space="preserve">"), </w:t>
      </w:r>
      <w:r>
        <w:rPr>
          <w:rtl w:val="true"/>
        </w:rPr>
        <w:t xml:space="preserve">להצית רכבו של השוטר רמי יוספיאן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השוטר</w:t>
      </w:r>
      <w:r>
        <w:rPr>
          <w:rtl w:val="true"/>
        </w:rPr>
        <w:t xml:space="preserve">"). </w:t>
      </w:r>
      <w:r>
        <w:rPr>
          <w:rtl w:val="true"/>
        </w:rPr>
        <w:t>השניים רכשו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24.2.08</w:t>
      </w:r>
      <w:r>
        <w:rPr>
          <w:rtl w:val="true"/>
        </w:rPr>
        <w:t xml:space="preserve">, </w:t>
      </w:r>
      <w:r>
        <w:rPr>
          <w:rtl w:val="true"/>
        </w:rPr>
        <w:t>דלק</w:t>
      </w:r>
      <w:r>
        <w:rPr>
          <w:rtl w:val="true"/>
        </w:rPr>
        <w:t xml:space="preserve">, </w:t>
      </w:r>
      <w:r>
        <w:rPr>
          <w:rtl w:val="true"/>
        </w:rPr>
        <w:t>בתחנת דלק</w:t>
      </w:r>
      <w:r>
        <w:rPr>
          <w:rtl w:val="true"/>
        </w:rPr>
        <w:t xml:space="preserve">, </w:t>
      </w:r>
      <w:r>
        <w:rPr>
          <w:rtl w:val="true"/>
        </w:rPr>
        <w:t>אותו מילאו בג</w:t>
      </w:r>
      <w:r>
        <w:rPr>
          <w:rtl w:val="true"/>
        </w:rPr>
        <w:t>'</w:t>
      </w:r>
      <w:r>
        <w:rPr>
          <w:rtl w:val="true"/>
        </w:rPr>
        <w:t>ריקאן ובאותו יום</w:t>
      </w:r>
      <w:r>
        <w:rPr>
          <w:rtl w:val="true"/>
        </w:rPr>
        <w:t xml:space="preserve">, </w:t>
      </w:r>
      <w:r>
        <w:rPr>
          <w:rtl w:val="true"/>
        </w:rPr>
        <w:t xml:space="preserve">סמוך לשעה </w:t>
      </w:r>
      <w:r>
        <w:rPr/>
        <w:t>02:15</w:t>
      </w:r>
      <w:r>
        <w:rPr>
          <w:rtl w:val="true"/>
        </w:rPr>
        <w:t xml:space="preserve"> </w:t>
      </w:r>
      <w:r>
        <w:rPr>
          <w:rtl w:val="true"/>
        </w:rPr>
        <w:t>הגיעו לביתו של השוטר ושילחו</w:t>
      </w:r>
      <w:r>
        <w:rPr>
          <w:rtl w:val="true"/>
        </w:rPr>
        <w:t xml:space="preserve">, </w:t>
      </w:r>
      <w:r>
        <w:rPr>
          <w:rtl w:val="true"/>
        </w:rPr>
        <w:t>במזיד</w:t>
      </w:r>
      <w:r>
        <w:rPr>
          <w:rtl w:val="true"/>
        </w:rPr>
        <w:t xml:space="preserve">, </w:t>
      </w:r>
      <w:r>
        <w:rPr>
          <w:rtl w:val="true"/>
        </w:rPr>
        <w:t>אש ברכבו</w:t>
      </w:r>
      <w:r>
        <w:rPr>
          <w:rtl w:val="true"/>
        </w:rPr>
        <w:t xml:space="preserve">, </w:t>
      </w:r>
      <w:r>
        <w:rPr>
          <w:rtl w:val="true"/>
        </w:rPr>
        <w:t>אשר חנה בכניסה לביתו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bookmarkStart w:id="11" w:name="ABSTRACT_END"/>
      <w:bookmarkEnd w:id="11"/>
      <w:r>
        <w:rPr>
          <w:rtl w:val="true"/>
        </w:rPr>
        <w:t>בגין כך הואשם הנאשם בקשירת קשר לביצוע פשע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13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449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 העונשין</w:t>
      </w:r>
      <w:r>
        <w:rPr>
          <w:rtl w:val="true"/>
        </w:rPr>
        <w:t xml:space="preserve">") </w:t>
      </w:r>
      <w:r>
        <w:rPr>
          <w:rtl w:val="true"/>
        </w:rPr>
        <w:t xml:space="preserve">ובהצתה – עביר לפי סעיף </w:t>
      </w:r>
      <w:hyperlink r:id="rId15">
        <w:r>
          <w:rPr>
            <w:rStyle w:val="Hyperlink"/>
            <w:color w:val="0000FF"/>
            <w:u w:val="single"/>
          </w:rPr>
          <w:t>29</w:t>
        </w:r>
      </w:hyperlink>
      <w:r>
        <w:rPr/>
        <w:t>+</w:t>
      </w:r>
      <w:hyperlink r:id="rId16">
        <w:r>
          <w:rPr>
            <w:rStyle w:val="Hyperlink"/>
            <w:color w:val="0000FF"/>
            <w:u w:val="single"/>
          </w:rPr>
          <w:t>448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 פי האישום השני</w:t>
      </w:r>
      <w:r>
        <w:rPr>
          <w:rtl w:val="true"/>
        </w:rPr>
        <w:t xml:space="preserve">, </w:t>
      </w:r>
      <w:r>
        <w:rPr>
          <w:rtl w:val="true"/>
        </w:rPr>
        <w:t xml:space="preserve">עקב הנאשם אחר אחד בשם ויקי זכות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ויקי</w:t>
      </w:r>
      <w:r>
        <w:rPr>
          <w:rtl w:val="true"/>
        </w:rPr>
        <w:t xml:space="preserve">"), </w:t>
      </w:r>
      <w:r>
        <w:rPr>
          <w:rtl w:val="true"/>
        </w:rPr>
        <w:t>שעבד כשומר בחברת שמירה והחזיק</w:t>
      </w:r>
      <w:r>
        <w:rPr>
          <w:rtl w:val="true"/>
        </w:rPr>
        <w:t xml:space="preserve">, </w:t>
      </w:r>
      <w:r>
        <w:rPr>
          <w:rtl w:val="true"/>
        </w:rPr>
        <w:t>בתוקף תפקידו</w:t>
      </w:r>
      <w:r>
        <w:rPr>
          <w:rtl w:val="true"/>
        </w:rPr>
        <w:t xml:space="preserve">, </w:t>
      </w:r>
      <w:r>
        <w:rPr>
          <w:rtl w:val="true"/>
        </w:rPr>
        <w:t>באקדח מסוג קארין מס</w:t>
      </w:r>
      <w:r>
        <w:rPr>
          <w:rtl w:val="true"/>
        </w:rPr>
        <w:t xml:space="preserve">' </w:t>
      </w:r>
      <w:r>
        <w:rPr/>
        <w:t>100165</w:t>
      </w:r>
      <w:r>
        <w:rPr/>
        <w:t>FG</w:t>
      </w:r>
      <w:r>
        <w:rPr/>
        <w:t>49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האקדח</w:t>
      </w:r>
      <w:r>
        <w:rPr>
          <w:rtl w:val="true"/>
        </w:rPr>
        <w:t xml:space="preserve">") </w:t>
      </w:r>
      <w:r>
        <w:rPr>
          <w:rtl w:val="true"/>
        </w:rPr>
        <w:t xml:space="preserve">ובשתי מחסניות עם כדורים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המחסניות</w:t>
      </w:r>
      <w:r>
        <w:rPr>
          <w:rtl w:val="true"/>
        </w:rPr>
        <w:t xml:space="preserve">"). </w:t>
      </w:r>
      <w:r>
        <w:rPr>
          <w:rtl w:val="true"/>
        </w:rPr>
        <w:t>לאחר שהנאשם ראה את ויקי יוצא מביתו</w:t>
      </w:r>
      <w:r>
        <w:rPr>
          <w:rtl w:val="true"/>
        </w:rPr>
        <w:t xml:space="preserve">, </w:t>
      </w:r>
      <w:r>
        <w:rPr>
          <w:rtl w:val="true"/>
        </w:rPr>
        <w:t>הוא נכנס לבית דרך חלון המטבח וגנב ממנו את האקדח</w:t>
      </w:r>
      <w:r>
        <w:rPr>
          <w:rtl w:val="true"/>
        </w:rPr>
        <w:t xml:space="preserve">, </w:t>
      </w:r>
      <w:r>
        <w:rPr>
          <w:rtl w:val="true"/>
        </w:rPr>
        <w:t>המחסניות ומכשיר פלאפון שהיה בבעלותו של ויקי</w:t>
      </w:r>
      <w:r>
        <w:rPr>
          <w:rtl w:val="true"/>
        </w:rPr>
        <w:t xml:space="preserve">. </w:t>
      </w:r>
      <w:r>
        <w:rPr>
          <w:rtl w:val="true"/>
        </w:rPr>
        <w:t>בשלב מאוחר יותר מכר הנאשם את האקדח לאחר והעביר לו את החזקה בו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בגין כך הואשם הנאשם בהתפרצות וגניבה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17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406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בעבירות נשק לפי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>)+(</w:t>
      </w:r>
      <w:hyperlink r:id="rId20"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tl w:val="true"/>
        </w:rPr>
        <w:t xml:space="preserve">) </w:t>
      </w:r>
      <w:r>
        <w:rPr>
          <w:rtl w:val="true"/>
        </w:rPr>
        <w:t>לחוק העונשין ובסחר בנשק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21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 xml:space="preserve">בישיבת יום </w:t>
      </w:r>
      <w:r>
        <w:rPr/>
        <w:t>18.9.08</w:t>
      </w:r>
      <w:r>
        <w:rPr>
          <w:rtl w:val="true"/>
        </w:rPr>
        <w:t xml:space="preserve"> </w:t>
      </w:r>
      <w:r>
        <w:rPr>
          <w:rtl w:val="true"/>
        </w:rPr>
        <w:t>הודה הנאשם במיוחס לו בכתב האישום והורשע בעבירות המפורטות בו</w:t>
      </w:r>
      <w:r>
        <w:rPr>
          <w:rtl w:val="true"/>
        </w:rPr>
        <w:t xml:space="preserve">. </w:t>
      </w:r>
      <w:r>
        <w:rPr>
          <w:rtl w:val="true"/>
        </w:rPr>
        <w:t>בהתאם להסדר הטיעון הוזמן תסקיר שירות המבחן</w:t>
      </w:r>
      <w:r>
        <w:rPr>
          <w:rtl w:val="true"/>
        </w:rPr>
        <w:t xml:space="preserve">, </w:t>
      </w:r>
      <w:r>
        <w:rPr>
          <w:rtl w:val="true"/>
        </w:rPr>
        <w:t>תוך שהובהר כי לא יהא בתסקיר כדי לחייב מי מהצדדים או את 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 xml:space="preserve">הנאשם נמצא במעצר עד תום ההליכים והוא עצור מיום </w:t>
      </w:r>
      <w:r>
        <w:rPr/>
        <w:t>6.4.08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תסקיר שירות המבחן</w:t>
      </w:r>
      <w:r>
        <w:rPr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מתסקיר שירות המבחן עולה שהנאשם</w:t>
      </w:r>
      <w:r>
        <w:rPr>
          <w:rtl w:val="true"/>
        </w:rPr>
        <w:t xml:space="preserve">, </w:t>
      </w:r>
      <w:r>
        <w:rPr>
          <w:rtl w:val="true"/>
        </w:rPr>
        <w:t>שהינו רווק</w:t>
      </w:r>
      <w:r>
        <w:rPr>
          <w:rtl w:val="true"/>
        </w:rPr>
        <w:t xml:space="preserve">, </w:t>
      </w:r>
      <w:r>
        <w:rPr>
          <w:rtl w:val="true"/>
        </w:rPr>
        <w:t>התגורר</w:t>
      </w:r>
      <w:r>
        <w:rPr>
          <w:rtl w:val="true"/>
        </w:rPr>
        <w:t xml:space="preserve">, </w:t>
      </w:r>
      <w:r>
        <w:rPr>
          <w:rtl w:val="true"/>
        </w:rPr>
        <w:t>עד למעצרו</w:t>
      </w:r>
      <w:r>
        <w:rPr>
          <w:rtl w:val="true"/>
        </w:rPr>
        <w:t xml:space="preserve">, </w:t>
      </w:r>
      <w:r>
        <w:rPr>
          <w:rtl w:val="true"/>
        </w:rPr>
        <w:t>בבית הוריו ועבד בעבודות מזדמנות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לנאשם רישום פלילי קודם</w:t>
      </w:r>
      <w:r>
        <w:rPr>
          <w:rtl w:val="true"/>
        </w:rPr>
        <w:t xml:space="preserve">, </w:t>
      </w:r>
      <w:r>
        <w:rPr>
          <w:rtl w:val="true"/>
        </w:rPr>
        <w:t>ללא הרשעה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26.1.06</w:t>
      </w:r>
      <w:r>
        <w:rPr>
          <w:rtl w:val="true"/>
        </w:rPr>
        <w:t xml:space="preserve">, </w:t>
      </w:r>
      <w:r>
        <w:rPr>
          <w:rtl w:val="true"/>
        </w:rPr>
        <w:t>בגין עבירה של שבל</w:t>
      </w:r>
      <w:r>
        <w:rPr>
          <w:rtl w:val="true"/>
        </w:rPr>
        <w:t>"</w:t>
      </w:r>
      <w:r>
        <w:rPr>
          <w:rtl w:val="true"/>
        </w:rPr>
        <w:t>ר ונטישה באותו מקום</w:t>
      </w:r>
      <w:r>
        <w:rPr>
          <w:rtl w:val="true"/>
        </w:rPr>
        <w:t xml:space="preserve">, </w:t>
      </w:r>
      <w:r>
        <w:rPr>
          <w:rtl w:val="true"/>
        </w:rPr>
        <w:t xml:space="preserve">בגינה נגזר עליו קנס בסך </w:t>
      </w:r>
      <w:r>
        <w:rPr/>
        <w:t>300</w:t>
      </w:r>
      <w:r>
        <w:rPr>
          <w:rtl w:val="true"/>
        </w:rPr>
        <w:t xml:space="preserve"> ₪, </w:t>
      </w:r>
      <w:r>
        <w:rPr>
          <w:rtl w:val="true"/>
        </w:rPr>
        <w:t>התחייבות</w:t>
      </w:r>
      <w:r>
        <w:rPr>
          <w:rtl w:val="true"/>
        </w:rPr>
        <w:t xml:space="preserve">, </w:t>
      </w:r>
      <w:r>
        <w:rPr>
          <w:rtl w:val="true"/>
        </w:rPr>
        <w:t xml:space="preserve">פסילה מלקבל רישיון נהיגה למשך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ופסילה על תנאי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בשנת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הופנה הנאשם לשירות המבחן לנוער</w:t>
      </w:r>
      <w:r>
        <w:rPr>
          <w:rtl w:val="true"/>
        </w:rPr>
        <w:t xml:space="preserve">, </w:t>
      </w:r>
      <w:r>
        <w:rPr>
          <w:rtl w:val="true"/>
        </w:rPr>
        <w:t>אולם התנגד לקשר טיפולי ועל רקע מעורבותו בעבירות שוחרר משירות צבאי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לפני כשנה החל בשימוש יומיומי בחשיש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העבירות המיוחסות לנאשם בוצעו על ידו במטרה לנקום בשוטר</w:t>
      </w:r>
      <w:r>
        <w:rPr>
          <w:rtl w:val="true"/>
        </w:rPr>
        <w:t xml:space="preserve">, </w:t>
      </w:r>
      <w:r>
        <w:rPr>
          <w:rtl w:val="true"/>
        </w:rPr>
        <w:t>אשר הביא להארכת מעצרו בעבר ואת האקדח</w:t>
      </w:r>
      <w:r>
        <w:rPr>
          <w:rtl w:val="true"/>
        </w:rPr>
        <w:t xml:space="preserve">, </w:t>
      </w:r>
      <w:r>
        <w:rPr>
          <w:rtl w:val="true"/>
        </w:rPr>
        <w:t>אשר באישום השני</w:t>
      </w:r>
      <w:r>
        <w:rPr>
          <w:rtl w:val="true"/>
        </w:rPr>
        <w:t xml:space="preserve">, </w:t>
      </w:r>
      <w:r>
        <w:rPr>
          <w:rtl w:val="true"/>
        </w:rPr>
        <w:t>גנב ומכר תמורת רווח 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שירות המבחן התרשם שהנאשם מתייחס למעשיו בקלות ראש וההשלכות הצפויות אם ייתפס לא היוו עבורו גורם מרתיע</w:t>
      </w:r>
      <w:r>
        <w:rPr>
          <w:rtl w:val="true"/>
        </w:rPr>
        <w:t xml:space="preserve">. </w:t>
      </w:r>
      <w:r>
        <w:rPr>
          <w:rtl w:val="true"/>
        </w:rPr>
        <w:t>כן התרשם שירות המבחן שהנאשם מגלה אדישות למעשיו ולחייו ואפתיה כלפי הסובב אותו והעריך</w:t>
      </w:r>
      <w:r>
        <w:rPr>
          <w:rtl w:val="true"/>
        </w:rPr>
        <w:t xml:space="preserve">, </w:t>
      </w:r>
      <w:r>
        <w:rPr>
          <w:rtl w:val="true"/>
        </w:rPr>
        <w:t>שהוא אינו בשל</w:t>
      </w:r>
      <w:r>
        <w:rPr>
          <w:rtl w:val="true"/>
        </w:rPr>
        <w:t xml:space="preserve">,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להסתייע בגורמי הטיפול ונראה שיחזור על 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בשל כך נמנע שירות המבחן מהמלצה טיפולית והמליץ לגזור עליו ענישה מוחשית כמאסר</w:t>
      </w:r>
      <w:r>
        <w:rPr>
          <w:rtl w:val="true"/>
        </w:rPr>
        <w:t xml:space="preserve">, </w:t>
      </w:r>
      <w:r>
        <w:rPr>
          <w:rtl w:val="true"/>
        </w:rPr>
        <w:t>שתהיה שקולה כנגד חומרת 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גזה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 של השותף לאישום הראשון</w:t>
      </w:r>
      <w:r>
        <w:rPr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 xml:space="preserve">כנגד האחר </w:t>
      </w:r>
      <w:r>
        <w:rPr>
          <w:rtl w:val="true"/>
        </w:rPr>
        <w:t xml:space="preserve">- </w:t>
      </w:r>
      <w:r>
        <w:rPr>
          <w:rtl w:val="true"/>
        </w:rPr>
        <w:t>שותפו לאישום הראשון</w:t>
      </w:r>
      <w:r>
        <w:rPr>
          <w:rtl w:val="true"/>
        </w:rPr>
        <w:t xml:space="preserve">, </w:t>
      </w:r>
      <w:r>
        <w:rPr>
          <w:rtl w:val="true"/>
        </w:rPr>
        <w:t xml:space="preserve">שהיה כבן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בעת ביצוע העבירה</w:t>
      </w:r>
      <w:r>
        <w:rPr>
          <w:rtl w:val="true"/>
        </w:rPr>
        <w:t xml:space="preserve">, </w:t>
      </w:r>
      <w:r>
        <w:rPr>
          <w:rtl w:val="true"/>
        </w:rPr>
        <w:t>הוגש כתב אישום בנפרד</w:t>
      </w:r>
      <w:r>
        <w:rPr>
          <w:rtl w:val="true"/>
        </w:rPr>
        <w:t xml:space="preserve">. </w:t>
      </w:r>
      <w:r>
        <w:rPr>
          <w:rtl w:val="true"/>
        </w:rPr>
        <w:t>במסגרת הסדר טיעון  תוקן כתב האישום כנגד האחר והוא הואשם בסיוע להצתה</w:t>
      </w:r>
      <w:r>
        <w:rPr>
          <w:rtl w:val="true"/>
        </w:rPr>
        <w:t xml:space="preserve">, </w:t>
      </w:r>
      <w:r>
        <w:rPr>
          <w:rtl w:val="true"/>
        </w:rPr>
        <w:t>כאשר בעובדות כתב האישום לא נזכרה העובדה שהרכב אשר הוצת הינו רכב השייך לשוטר ונכתב שהנאשם אשר בפניי היה זה אשר שילח אש ברכב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 xml:space="preserve">במסגרת הסדר הטיעון לגבי האחר </w:t>
      </w:r>
      <w:r>
        <w:rPr>
          <w:rtl w:val="true"/>
        </w:rPr>
        <w:t>(</w:t>
      </w:r>
      <w:r>
        <w:rPr>
          <w:rtl w:val="true"/>
        </w:rPr>
        <w:t>הסדר אשר הושפע מקשיים ראייתיים</w:t>
      </w:r>
      <w:r>
        <w:rPr>
          <w:rtl w:val="true"/>
        </w:rPr>
        <w:t xml:space="preserve">), </w:t>
      </w:r>
      <w:r>
        <w:rPr>
          <w:rtl w:val="true"/>
        </w:rPr>
        <w:t xml:space="preserve">עתרה המאשימה להשתת מאסר בפועל  לתקופה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חודשים ואילו הסניגור ביקש להסתפק במאסר לתקופה של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רכיבי שאר העונש הושאר לטיעון חופשי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 xml:space="preserve">ש אשר דן בעניינו של האחר </w:t>
      </w:r>
      <w:r>
        <w:rPr>
          <w:rtl w:val="true"/>
        </w:rPr>
        <w:t>(</w:t>
      </w:r>
      <w:r>
        <w:rPr>
          <w:rtl w:val="true"/>
        </w:rPr>
        <w:t>כבוד השופט משה גלעד</w:t>
      </w:r>
      <w:r>
        <w:rPr>
          <w:rtl w:val="true"/>
        </w:rPr>
        <w:t xml:space="preserve">), </w:t>
      </w:r>
      <w:r>
        <w:rPr>
          <w:rtl w:val="true"/>
        </w:rPr>
        <w:t xml:space="preserve">הדגיש את נסיבותיו האישיות של האחר ואת חלקו הקטן בביצוע העבירה וגזר עליו מאסר בפועל לתקופה של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 של שנה</w:t>
      </w:r>
      <w:r>
        <w:rPr>
          <w:rtl w:val="true"/>
        </w:rPr>
        <w:t xml:space="preserve">, </w:t>
      </w:r>
      <w:r>
        <w:rPr>
          <w:rtl w:val="true"/>
        </w:rPr>
        <w:t xml:space="preserve">קנס בסך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 xml:space="preserve">ופיצוי למתלונן בסך </w:t>
      </w:r>
      <w:r>
        <w:rPr/>
        <w:t>10,000</w:t>
      </w:r>
      <w:r>
        <w:rPr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טיעוני המאשימה לעונש</w:t>
      </w:r>
      <w:r>
        <w:rPr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טוענת</w:t>
      </w:r>
      <w:r>
        <w:rPr>
          <w:rtl w:val="true"/>
        </w:rPr>
        <w:t xml:space="preserve">, </w:t>
      </w:r>
      <w:r>
        <w:rPr>
          <w:rtl w:val="true"/>
        </w:rPr>
        <w:t>שאין לגזור גזירה שווה בין העונש שהוטל על האחר ובין העונש ההולם את העבירות והנסיבות של הנאשם דנן</w:t>
      </w:r>
      <w:r>
        <w:rPr>
          <w:rtl w:val="true"/>
        </w:rPr>
        <w:t xml:space="preserve">, </w:t>
      </w:r>
      <w:r>
        <w:rPr>
          <w:rtl w:val="true"/>
        </w:rPr>
        <w:t>אלא להחמיר בעונשו של הנאשם דנן</w:t>
      </w:r>
      <w:r>
        <w:rPr>
          <w:rtl w:val="true"/>
        </w:rPr>
        <w:t xml:space="preserve">, </w:t>
      </w:r>
      <w:r>
        <w:rPr>
          <w:rtl w:val="true"/>
        </w:rPr>
        <w:t xml:space="preserve">שכן האחר הורשע בסיוע להצתה </w:t>
      </w:r>
      <w:r>
        <w:rPr>
          <w:rtl w:val="true"/>
        </w:rPr>
        <w:t>(</w:t>
      </w:r>
      <w:r>
        <w:rPr>
          <w:rtl w:val="true"/>
        </w:rPr>
        <w:t>שעונשו – מחצית מעונשו של העבריין העיקרי</w:t>
      </w:r>
      <w:r>
        <w:rPr>
          <w:rtl w:val="true"/>
        </w:rPr>
        <w:t xml:space="preserve">) </w:t>
      </w:r>
      <w:r>
        <w:rPr>
          <w:rtl w:val="true"/>
        </w:rPr>
        <w:t>ואילו הנאשם דנן הינו העבריין העיקרי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,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שלח אש ברכב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לגבי הנאשם דנן קיימת נסיבה מחמירה נוספת והיא הצתה מכוונת של רכב השוטר דווקא</w:t>
      </w:r>
      <w:r>
        <w:rPr>
          <w:rtl w:val="true"/>
        </w:rPr>
        <w:t xml:space="preserve">, </w:t>
      </w:r>
      <w:r>
        <w:rPr>
          <w:rtl w:val="true"/>
        </w:rPr>
        <w:t>כנקמה</w:t>
      </w:r>
      <w:r>
        <w:rPr>
          <w:rtl w:val="true"/>
        </w:rPr>
        <w:t xml:space="preserve">, </w:t>
      </w:r>
      <w:r>
        <w:rPr>
          <w:rtl w:val="true"/>
        </w:rPr>
        <w:t xml:space="preserve">בעוד שהאחר הודה והורשע בהצתת רכב </w:t>
      </w:r>
      <w:r>
        <w:rPr>
          <w:rtl w:val="true"/>
        </w:rPr>
        <w:t>"</w:t>
      </w:r>
      <w:r>
        <w:rPr>
          <w:rtl w:val="true"/>
        </w:rPr>
        <w:t>אנונימי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מציינת את החומרה הרבה אשר במניע</w:t>
      </w:r>
      <w:r>
        <w:rPr>
          <w:rtl w:val="true"/>
        </w:rPr>
        <w:t xml:space="preserve">, </w:t>
      </w:r>
      <w:r>
        <w:rPr>
          <w:rtl w:val="true"/>
        </w:rPr>
        <w:t>המיוחס לנאשם</w:t>
      </w:r>
      <w:r>
        <w:rPr>
          <w:rtl w:val="true"/>
        </w:rPr>
        <w:t xml:space="preserve">, </w:t>
      </w:r>
      <w:r>
        <w:rPr>
          <w:rtl w:val="true"/>
        </w:rPr>
        <w:t>להצתת רכב השוטר</w:t>
      </w:r>
      <w:r>
        <w:rPr>
          <w:rtl w:val="true"/>
        </w:rPr>
        <w:t xml:space="preserve">, </w:t>
      </w:r>
      <w:r>
        <w:rPr>
          <w:rtl w:val="true"/>
        </w:rPr>
        <w:t>הוא נקמה בשוטר על מעורבותו במעצר קודם של הנאשם ואת הסיכון לחיי אדם הטמון בעבירת הצתה</w:t>
      </w:r>
      <w:r>
        <w:rPr>
          <w:rtl w:val="true"/>
        </w:rPr>
        <w:t xml:space="preserve">, </w:t>
      </w:r>
      <w:r>
        <w:rPr>
          <w:rtl w:val="true"/>
        </w:rPr>
        <w:t>כמו גם הסיכון שבעבירה של סחר לא חוקי בנשק</w:t>
      </w:r>
      <w:r>
        <w:rPr>
          <w:rtl w:val="true"/>
        </w:rPr>
        <w:t xml:space="preserve">, </w:t>
      </w:r>
      <w:r>
        <w:rPr>
          <w:rtl w:val="true"/>
        </w:rPr>
        <w:t>העלול להגיע לידיים עוינות ובתכנון המוקדם של העבירות ע</w:t>
      </w:r>
      <w:r>
        <w:rPr>
          <w:rtl w:val="true"/>
        </w:rPr>
        <w:t>"</w:t>
      </w:r>
      <w:r>
        <w:rPr>
          <w:rtl w:val="true"/>
        </w:rPr>
        <w:t>י 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עוד מצביעה ב</w:t>
      </w:r>
      <w:r>
        <w:rPr>
          <w:rtl w:val="true"/>
        </w:rPr>
        <w:t>"</w:t>
      </w:r>
      <w:r>
        <w:rPr>
          <w:rtl w:val="true"/>
        </w:rPr>
        <w:t>כ המאשימה על הבדלים</w:t>
      </w:r>
      <w:r>
        <w:rPr>
          <w:rtl w:val="true"/>
        </w:rPr>
        <w:t xml:space="preserve">, </w:t>
      </w:r>
      <w:r>
        <w:rPr>
          <w:rtl w:val="true"/>
        </w:rPr>
        <w:t>להקלה בעונשו של האחר</w:t>
      </w:r>
      <w:r>
        <w:rPr>
          <w:rtl w:val="true"/>
        </w:rPr>
        <w:t xml:space="preserve">, </w:t>
      </w:r>
      <w:r>
        <w:rPr>
          <w:rtl w:val="true"/>
        </w:rPr>
        <w:t>הנעוצים בתוכן תסקיר שירות המבחן ובדפוסי ההתנהגות של השניים</w:t>
      </w:r>
      <w:r>
        <w:rPr>
          <w:rtl w:val="true"/>
        </w:rPr>
        <w:t xml:space="preserve">, </w:t>
      </w:r>
      <w:r>
        <w:rPr>
          <w:rtl w:val="true"/>
        </w:rPr>
        <w:t>כמו גם על העובדה שהנאשם דנן הואשם באישום חמור נוסף</w:t>
      </w:r>
      <w:r>
        <w:rPr>
          <w:rtl w:val="true"/>
        </w:rPr>
        <w:t xml:space="preserve">, </w:t>
      </w:r>
      <w:r>
        <w:rPr>
          <w:rtl w:val="true"/>
        </w:rPr>
        <w:t>שעניינו סחר בנשק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מפנה לאמור בתסקיר שירות המבחן</w:t>
      </w:r>
      <w:r>
        <w:rPr>
          <w:rtl w:val="true"/>
        </w:rPr>
        <w:t xml:space="preserve">, </w:t>
      </w:r>
      <w:r>
        <w:rPr>
          <w:rtl w:val="true"/>
        </w:rPr>
        <w:t>הן לעניין התייחסותו של הנאשם לעבירות והכדאיות אשר הוא רואה בביצוען והן לדרך העבריינית בה בחר והמלצת שירות המבחן להטיל עליו עונש של מאסר 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המאשימה מבקשת להטיל על הנאשם עונש מאסר ממשי</w:t>
      </w:r>
      <w:r>
        <w:rPr>
          <w:rtl w:val="true"/>
        </w:rPr>
        <w:t xml:space="preserve">, </w:t>
      </w:r>
      <w:r>
        <w:rPr>
          <w:rtl w:val="true"/>
        </w:rPr>
        <w:t>מאחורי סורג ובריח</w:t>
      </w:r>
      <w:r>
        <w:rPr>
          <w:rtl w:val="true"/>
        </w:rPr>
        <w:t xml:space="preserve">, </w:t>
      </w:r>
      <w:r>
        <w:rPr>
          <w:rtl w:val="true"/>
        </w:rPr>
        <w:t>מאסר על תנאי מרתיע קנס משמעותי</w:t>
      </w:r>
      <w:r>
        <w:rPr>
          <w:rtl w:val="true"/>
        </w:rPr>
        <w:t xml:space="preserve">, </w:t>
      </w:r>
      <w:r>
        <w:rPr>
          <w:rtl w:val="true"/>
        </w:rPr>
        <w:t>אשר יאיין את הכדאיות אשר רואה הנאשם בביצוע עבירות וחיובו בתשלום פיצויים למתלונן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טיעוני הסניגור לעונש</w:t>
      </w:r>
      <w:r>
        <w:rPr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הנאשם מדגיש את גילו הצעיר של הנאשם בעת ביצוע העבירות –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שנים 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 בלבד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הסניגור המלומד יוצא כנגד ההבחנות הנעשות ע</w:t>
      </w:r>
      <w:r>
        <w:rPr>
          <w:rtl w:val="true"/>
        </w:rPr>
        <w:t>"</w:t>
      </w:r>
      <w:r>
        <w:rPr>
          <w:rtl w:val="true"/>
        </w:rPr>
        <w:t>י ב</w:t>
      </w:r>
      <w:r>
        <w:rPr>
          <w:rtl w:val="true"/>
        </w:rPr>
        <w:t>"</w:t>
      </w:r>
      <w:r>
        <w:rPr>
          <w:rtl w:val="true"/>
        </w:rPr>
        <w:t>כ המאשימה בין האחר לבין הנאשם דנן</w:t>
      </w:r>
      <w:r>
        <w:rPr>
          <w:rtl w:val="true"/>
        </w:rPr>
        <w:t xml:space="preserve">, </w:t>
      </w:r>
      <w:r>
        <w:rPr>
          <w:rtl w:val="true"/>
        </w:rPr>
        <w:t>בכל הנוגע לאישום הראשון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הבחנות אלה התאפשרו</w:t>
      </w:r>
      <w:r>
        <w:rPr>
          <w:rtl w:val="true"/>
        </w:rPr>
        <w:t xml:space="preserve">, </w:t>
      </w:r>
      <w:r>
        <w:rPr>
          <w:rtl w:val="true"/>
        </w:rPr>
        <w:t>בגין כך שהנאשם דנן הודה בביצוע העבירות ואילו האחר לא הודה ולכן נוצרו לגבי האחר קשיים ראייתיים אשר הביאו להסדר מקל לעניין עובדות כתב האישום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יש לראות את שני הנאשמים כשותפים למעשים שנעשו באישום הראשון ולכן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אין להחמיר יותר עם הנאשם דנן</w:t>
      </w:r>
      <w:r>
        <w:rPr>
          <w:rtl w:val="true"/>
        </w:rPr>
        <w:t xml:space="preserve">, </w:t>
      </w:r>
      <w:r>
        <w:rPr>
          <w:rtl w:val="true"/>
        </w:rPr>
        <w:t>בכל הנוגע לאישום הראשון ואין להכפיל את העונש שנגזר על האחר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הסניגור מבקש להעדיף את האינטרס השיקומי ולהסתפק בתקופת המעצר אשר ריצה הנאשם עד היום</w:t>
      </w:r>
      <w:r>
        <w:rPr>
          <w:rtl w:val="true"/>
        </w:rPr>
        <w:t xml:space="preserve">, </w:t>
      </w:r>
      <w:r>
        <w:rPr>
          <w:rtl w:val="true"/>
        </w:rPr>
        <w:t>בנוסף להטלת ענישה צופה פני העתיד</w:t>
      </w:r>
      <w:r>
        <w:rPr>
          <w:rtl w:val="true"/>
        </w:rPr>
        <w:t xml:space="preserve">, </w:t>
      </w:r>
      <w:r>
        <w:rPr>
          <w:rtl w:val="true"/>
        </w:rPr>
        <w:t>בדמות מאסר על תנאי משמעותי והתחייבות להימנע מביצוע העבירות בהן הורשע</w:t>
      </w:r>
      <w:r>
        <w:rPr>
          <w:rtl w:val="true"/>
        </w:rPr>
        <w:t xml:space="preserve">, </w:t>
      </w:r>
      <w:r>
        <w:rPr>
          <w:rtl w:val="true"/>
        </w:rPr>
        <w:t>בהדגישו שהאחר כבר שוחרר ממאסרו</w:t>
      </w:r>
      <w:r>
        <w:rPr>
          <w:rtl w:val="true"/>
        </w:rPr>
        <w:t xml:space="preserve">, </w:t>
      </w:r>
      <w:r>
        <w:rPr>
          <w:rtl w:val="true"/>
        </w:rPr>
        <w:t>לאחר ניכוי שליש ממנו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כן מציין הסניגור</w:t>
      </w:r>
      <w:r>
        <w:rPr>
          <w:rtl w:val="true"/>
        </w:rPr>
        <w:t xml:space="preserve">,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את הודייתו של הנאשם והחסכון הרב בזמנו של 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כפועל יוצא ממנה והחסכון שנחסך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בחשיפת מידעים מודיעיניים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דיון</w:t>
      </w:r>
      <w:r>
        <w:rPr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עבירת הצתה</w:t>
      </w:r>
      <w:r>
        <w:rPr>
          <w:rtl w:val="true"/>
        </w:rPr>
        <w:t xml:space="preserve">, </w:t>
      </w:r>
      <w:r>
        <w:rPr>
          <w:rtl w:val="true"/>
        </w:rPr>
        <w:t>במיוחד כאשר היא מבוצעת בסמוך למקום מגורים</w:t>
      </w:r>
      <w:r>
        <w:rPr>
          <w:rtl w:val="true"/>
        </w:rPr>
        <w:t xml:space="preserve">, </w:t>
      </w:r>
      <w:r>
        <w:rPr>
          <w:rtl w:val="true"/>
        </w:rPr>
        <w:t>כפי המקרה דנן</w:t>
      </w:r>
      <w:r>
        <w:rPr>
          <w:rtl w:val="true"/>
        </w:rPr>
        <w:t xml:space="preserve">, </w:t>
      </w:r>
      <w:r>
        <w:rPr>
          <w:rtl w:val="true"/>
        </w:rPr>
        <w:t>בו הוצת הרכב</w:t>
      </w:r>
      <w:r>
        <w:rPr>
          <w:rtl w:val="true"/>
        </w:rPr>
        <w:t xml:space="preserve">, </w:t>
      </w:r>
      <w:r>
        <w:rPr>
          <w:rtl w:val="true"/>
        </w:rPr>
        <w:t>בעודו חונה ליד ביתו של השוטר השוטר</w:t>
      </w:r>
      <w:r>
        <w:rPr>
          <w:rtl w:val="true"/>
        </w:rPr>
        <w:t xml:space="preserve">, </w:t>
      </w:r>
      <w:r>
        <w:rPr>
          <w:rtl w:val="true"/>
        </w:rPr>
        <w:t>כשההצתה נעשית נעשה באמצעות שפיכת דלק על הרכב והדלקתו</w:t>
      </w:r>
      <w:r>
        <w:rPr>
          <w:rtl w:val="true"/>
        </w:rPr>
        <w:t xml:space="preserve">, </w:t>
      </w:r>
      <w:r>
        <w:rPr>
          <w:rtl w:val="true"/>
        </w:rPr>
        <w:t>טומנת בחובה סיכון ממשי לחיי אדם</w:t>
      </w:r>
      <w:r>
        <w:rPr>
          <w:rtl w:val="true"/>
        </w:rPr>
        <w:t xml:space="preserve">, </w:t>
      </w:r>
      <w:r>
        <w:rPr>
          <w:rtl w:val="true"/>
        </w:rPr>
        <w:t>שכן לא ניתן לצפות כיצד תתפשט האש ומי ייקלע לקרבתה וייפגע כתוצאה מכך</w:t>
      </w:r>
      <w:r>
        <w:rPr>
          <w:rtl w:val="true"/>
        </w:rPr>
        <w:t xml:space="preserve">. </w:t>
      </w:r>
      <w:r>
        <w:rPr>
          <w:rtl w:val="true"/>
        </w:rPr>
        <w:t xml:space="preserve">לא בכדי נקבע לעבירת הצתה עונש כבד של מאסר בפועל לתקופה של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לעניו עבירות ההצתה והסיכון הטמון בהן לבטחון הציבור נאמר לא אחת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720"/>
        <w:jc w:val="both"/>
        <w:rPr/>
      </w:pPr>
      <w:r>
        <w:rPr>
          <w:rtl w:val="true"/>
        </w:rPr>
        <w:t>"</w:t>
      </w:r>
      <w:r>
        <w:rPr>
          <w:rFonts w:cs="Miriam"/>
          <w:rtl w:val="true"/>
        </w:rPr>
        <w:t>עבירת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הצתה</w:t>
      </w:r>
      <w:r>
        <w:rPr>
          <w:rtl w:val="true"/>
        </w:rPr>
        <w:t xml:space="preserve"> </w:t>
      </w:r>
      <w:r>
        <w:rPr>
          <w:rFonts w:cs="Miriam"/>
          <w:rtl w:val="true"/>
        </w:rPr>
        <w:t>הינה</w:t>
      </w:r>
      <w:r>
        <w:rPr>
          <w:rtl w:val="true"/>
        </w:rPr>
        <w:t xml:space="preserve"> </w:t>
      </w:r>
      <w:r>
        <w:rPr>
          <w:rFonts w:cs="Miriam"/>
          <w:rtl w:val="true"/>
        </w:rPr>
        <w:t>מן</w:t>
      </w:r>
      <w:r>
        <w:rPr>
          <w:rtl w:val="true"/>
        </w:rPr>
        <w:t xml:space="preserve"> </w:t>
      </w:r>
      <w:r>
        <w:rPr>
          <w:rFonts w:cs="Miriam"/>
          <w:rtl w:val="true"/>
        </w:rPr>
        <w:t>החמורות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שבעבירות</w:t>
      </w:r>
      <w:r>
        <w:rPr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שיודע</w:t>
      </w:r>
      <w:r>
        <w:rPr>
          <w:rtl w:val="true"/>
        </w:rPr>
        <w:t xml:space="preserve"> </w:t>
      </w:r>
      <w:r>
        <w:rPr>
          <w:rFonts w:cs="Miriam"/>
          <w:rtl w:val="true"/>
        </w:rPr>
        <w:t>אתה</w:t>
      </w:r>
      <w:r>
        <w:rPr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תחילתה</w:t>
      </w:r>
      <w:r>
        <w:rPr>
          <w:rtl w:val="true"/>
        </w:rPr>
        <w:t xml:space="preserve"> </w:t>
      </w:r>
      <w:r>
        <w:rPr>
          <w:rFonts w:cs="Miriam"/>
          <w:rtl w:val="true"/>
        </w:rPr>
        <w:t>ואין</w:t>
      </w:r>
      <w:r>
        <w:rPr>
          <w:rtl w:val="true"/>
        </w:rPr>
        <w:t xml:space="preserve"> </w:t>
      </w:r>
      <w:r>
        <w:rPr>
          <w:rFonts w:cs="Miriam"/>
          <w:rtl w:val="true"/>
        </w:rPr>
        <w:t>אתה</w:t>
      </w:r>
      <w:r>
        <w:rPr>
          <w:rtl w:val="true"/>
        </w:rPr>
        <w:t xml:space="preserve"> </w:t>
      </w:r>
      <w:r>
        <w:rPr>
          <w:rFonts w:cs="Miriam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סופה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ומי</w:t>
      </w:r>
      <w:r>
        <w:rPr>
          <w:rtl w:val="true"/>
        </w:rPr>
        <w:t xml:space="preserve"> </w:t>
      </w:r>
      <w:r>
        <w:rPr>
          <w:rFonts w:cs="Miriam"/>
          <w:rtl w:val="true"/>
        </w:rPr>
        <w:t>שמתיר</w:t>
      </w:r>
      <w:r>
        <w:rPr>
          <w:rtl w:val="true"/>
        </w:rPr>
        <w:t xml:space="preserve"> </w:t>
      </w:r>
      <w:r>
        <w:rPr>
          <w:rFonts w:cs="Miriam"/>
          <w:rtl w:val="true"/>
        </w:rPr>
        <w:t>לעצמו</w:t>
      </w:r>
      <w:r>
        <w:rPr>
          <w:rtl w:val="true"/>
        </w:rPr>
        <w:t xml:space="preserve"> </w:t>
      </w:r>
      <w:r>
        <w:rPr>
          <w:rFonts w:cs="Miriam"/>
          <w:rtl w:val="true"/>
        </w:rPr>
        <w:t>לסכן</w:t>
      </w:r>
      <w:r>
        <w:rPr>
          <w:rtl w:val="true"/>
        </w:rPr>
        <w:t xml:space="preserve"> </w:t>
      </w:r>
      <w:r>
        <w:rPr>
          <w:rFonts w:cs="Miriam"/>
          <w:rtl w:val="true"/>
        </w:rPr>
        <w:t>בדרך</w:t>
      </w:r>
      <w:r>
        <w:rPr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tl w:val="true"/>
        </w:rPr>
        <w:t xml:space="preserve"> </w:t>
      </w:r>
      <w:r>
        <w:rPr>
          <w:rFonts w:cs="Miriam"/>
          <w:rtl w:val="true"/>
        </w:rPr>
        <w:t>רכוש</w:t>
      </w:r>
      <w:r>
        <w:rPr>
          <w:rtl w:val="true"/>
        </w:rPr>
        <w:t xml:space="preserve"> </w:t>
      </w:r>
      <w:r>
        <w:rPr>
          <w:rFonts w:cs="Miriam"/>
          <w:rtl w:val="true"/>
        </w:rPr>
        <w:t>וחיים</w:t>
      </w:r>
      <w:r>
        <w:rPr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ובעניינו</w:t>
      </w:r>
      <w:r>
        <w:rPr>
          <w:rFonts w:cs="Miriam"/>
          <w:rtl w:val="true"/>
        </w:rPr>
        <w:t>,</w:t>
      </w:r>
      <w:r>
        <w:rPr>
          <w:rFonts w:cs="Miriam"/>
          <w:rtl w:val="true"/>
        </w:rPr>
        <w:t>כאמור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בשל</w:t>
      </w:r>
      <w:r>
        <w:rPr>
          <w:rtl w:val="true"/>
        </w:rPr>
        <w:t xml:space="preserve"> </w:t>
      </w:r>
      <w:r>
        <w:rPr>
          <w:rFonts w:cs="Miriam"/>
          <w:rtl w:val="true"/>
        </w:rPr>
        <w:t>דבר</w:t>
      </w:r>
      <w:r>
        <w:rPr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tl w:val="true"/>
        </w:rPr>
        <w:t xml:space="preserve"> </w:t>
      </w:r>
      <w:r>
        <w:rPr>
          <w:rFonts w:cs="Miriam"/>
          <w:rtl w:val="true"/>
        </w:rPr>
        <w:t>מה</w:t>
      </w:r>
      <w:r>
        <w:rPr>
          <w:rtl w:val="true"/>
        </w:rPr>
        <w:t xml:space="preserve"> </w:t>
      </w:r>
      <w:r>
        <w:rPr>
          <w:rFonts w:cs="Miriam"/>
          <w:rtl w:val="true"/>
        </w:rPr>
        <w:t>בכך</w:t>
      </w:r>
      <w:r>
        <w:rPr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עשוי</w:t>
      </w:r>
      <w:r>
        <w:rPr>
          <w:rtl w:val="true"/>
        </w:rPr>
        <w:t xml:space="preserve"> </w:t>
      </w:r>
      <w:r>
        <w:rPr>
          <w:rFonts w:cs="Miriam"/>
          <w:rtl w:val="true"/>
        </w:rPr>
        <w:t>להוסיף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לסכן</w:t>
      </w:r>
      <w:r>
        <w:rPr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זולתו</w:t>
      </w:r>
      <w:r>
        <w:rPr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tl w:val="true"/>
        </w:rPr>
        <w:t xml:space="preserve"> </w:t>
      </w:r>
      <w:r>
        <w:rPr>
          <w:rFonts w:cs="Miriam"/>
          <w:rtl w:val="true"/>
        </w:rPr>
        <w:t>בנסיבות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אחרות</w:t>
      </w:r>
      <w:r>
        <w:rPr>
          <w:rFonts w:cs="Miriam"/>
          <w:rtl w:val="true"/>
        </w:rPr>
        <w:t>....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start="1440" w:end="72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 xml:space="preserve">ראו דברי כבוד השופט ריבלין </w:t>
      </w:r>
      <w:r>
        <w:rPr>
          <w:rtl w:val="true"/>
        </w:rPr>
        <w:t>(</w:t>
      </w:r>
      <w:r>
        <w:rPr>
          <w:rtl w:val="true"/>
        </w:rPr>
        <w:t>כתארו אז</w:t>
      </w:r>
      <w:r>
        <w:rPr>
          <w:rtl w:val="true"/>
        </w:rPr>
        <w:t xml:space="preserve">): </w:t>
      </w:r>
      <w:hyperlink r:id="rId22">
        <w:r>
          <w:rPr>
            <w:rStyle w:val="Hyperlink"/>
            <w:rtl w:val="true"/>
          </w:rPr>
          <w:t>בש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6526/02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6527/02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 בן אעיד אלענמי ואנג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לה פאבלוב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30.7.02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: </w:t>
      </w:r>
      <w:hyperlink r:id="rId2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11748/05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22.5.06</w:t>
      </w:r>
      <w:r>
        <w:rPr>
          <w:rtl w:val="true"/>
        </w:rPr>
        <w:t xml:space="preserve">); </w:t>
      </w:r>
      <w:hyperlink r:id="rId2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1689/05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אברהם גאוי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29.6.05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חומרה נוספת יש לראות בכך שהוצת רכב של שוטר</w:t>
      </w:r>
      <w:r>
        <w:rPr>
          <w:rtl w:val="true"/>
        </w:rPr>
        <w:t xml:space="preserve">, </w:t>
      </w:r>
      <w:r>
        <w:rPr>
          <w:rtl w:val="true"/>
        </w:rPr>
        <w:t>על רקע מילוי תפקידו של השוטר כלפי הנאשם</w:t>
      </w:r>
      <w:r>
        <w:rPr>
          <w:rtl w:val="true"/>
        </w:rPr>
        <w:t xml:space="preserve">, </w:t>
      </w:r>
      <w:r>
        <w:rPr>
          <w:rtl w:val="true"/>
        </w:rPr>
        <w:t>במקרה קודם בו נעצר הנאשם</w:t>
      </w:r>
      <w:r>
        <w:rPr>
          <w:rtl w:val="true"/>
        </w:rPr>
        <w:t xml:space="preserve">, </w:t>
      </w:r>
      <w:r>
        <w:rPr>
          <w:rtl w:val="true"/>
        </w:rPr>
        <w:t>כך שלסיכון לחיי אדם</w:t>
      </w:r>
      <w:r>
        <w:rPr>
          <w:rtl w:val="true"/>
        </w:rPr>
        <w:t xml:space="preserve">, </w:t>
      </w:r>
      <w:r>
        <w:rPr>
          <w:rtl w:val="true"/>
        </w:rPr>
        <w:t>אשר במעשה</w:t>
      </w:r>
      <w:r>
        <w:rPr>
          <w:rtl w:val="true"/>
        </w:rPr>
        <w:t xml:space="preserve">, </w:t>
      </w:r>
      <w:r>
        <w:rPr>
          <w:rtl w:val="true"/>
        </w:rPr>
        <w:t>מתלווה פגיעה חמורה באינטרס הציבורי שבאכיפת החוק</w:t>
      </w:r>
      <w:r>
        <w:rPr>
          <w:rtl w:val="true"/>
        </w:rPr>
        <w:t xml:space="preserve">, </w:t>
      </w:r>
      <w:r>
        <w:rPr>
          <w:rtl w:val="true"/>
        </w:rPr>
        <w:t>ללא כל מורא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חובה על ביהמ</w:t>
      </w:r>
      <w:r>
        <w:rPr>
          <w:rtl w:val="true"/>
        </w:rPr>
        <w:t>"</w:t>
      </w:r>
      <w:r>
        <w:rPr>
          <w:rtl w:val="true"/>
        </w:rPr>
        <w:t>ש להגן על רשויות אכיפת החוק ועל השוטרים</w:t>
      </w:r>
      <w:r>
        <w:rPr>
          <w:rtl w:val="true"/>
        </w:rPr>
        <w:t xml:space="preserve">, </w:t>
      </w:r>
      <w:r>
        <w:rPr>
          <w:rtl w:val="true"/>
        </w:rPr>
        <w:t>לשם מניעת פגיעה ביכולת החקירה והאכיפה של רשויות אלה</w:t>
      </w:r>
      <w:r>
        <w:rPr>
          <w:rtl w:val="true"/>
        </w:rPr>
        <w:t xml:space="preserve">, </w:t>
      </w:r>
      <w:r>
        <w:rPr>
          <w:rtl w:val="true"/>
        </w:rPr>
        <w:t>באמצעות ענישה מחמירה ומרתיעה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לגבי נאשם זה קיים גם אישום נוסף – התפרצות ועבירות בנשק</w:t>
      </w:r>
      <w:r>
        <w:rPr>
          <w:rtl w:val="true"/>
        </w:rPr>
        <w:t xml:space="preserve">. </w:t>
      </w:r>
      <w:r>
        <w:rPr>
          <w:rtl w:val="true"/>
        </w:rPr>
        <w:t>גם עבירות אלה בוצעו ע</w:t>
      </w:r>
      <w:r>
        <w:rPr>
          <w:rtl w:val="true"/>
        </w:rPr>
        <w:t>"</w:t>
      </w:r>
      <w:r>
        <w:rPr>
          <w:rtl w:val="true"/>
        </w:rPr>
        <w:t>י הנאשם תוך תכנון מוקדם</w:t>
      </w:r>
      <w:r>
        <w:rPr>
          <w:rtl w:val="true"/>
        </w:rPr>
        <w:t xml:space="preserve">. </w:t>
      </w:r>
      <w:r>
        <w:rPr>
          <w:rtl w:val="true"/>
        </w:rPr>
        <w:t>הנאשם עקב אחר המתלונן על מנת למצוא את שעת הכושר לפרוץ לביתו ולגנוב את כלי הנשק</w:t>
      </w:r>
      <w:r>
        <w:rPr>
          <w:rtl w:val="true"/>
        </w:rPr>
        <w:t xml:space="preserve">, </w:t>
      </w:r>
      <w:r>
        <w:rPr>
          <w:rtl w:val="true"/>
        </w:rPr>
        <w:t>אותו העביר לאדם נוסף</w:t>
      </w:r>
      <w:r>
        <w:rPr>
          <w:rtl w:val="true"/>
        </w:rPr>
        <w:t xml:space="preserve">, </w:t>
      </w:r>
      <w:r>
        <w:rPr>
          <w:rtl w:val="true"/>
        </w:rPr>
        <w:t>לשם רווח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חזקה על כלי נשק</w:t>
      </w:r>
      <w:r>
        <w:rPr>
          <w:rtl w:val="true"/>
        </w:rPr>
        <w:t xml:space="preserve">, </w:t>
      </w:r>
      <w:r>
        <w:rPr>
          <w:rtl w:val="true"/>
        </w:rPr>
        <w:t>הנסחרים באופן בלתי חוקי</w:t>
      </w:r>
      <w:r>
        <w:rPr>
          <w:rtl w:val="true"/>
        </w:rPr>
        <w:t xml:space="preserve">, </w:t>
      </w:r>
      <w:r>
        <w:rPr>
          <w:rtl w:val="true"/>
        </w:rPr>
        <w:t>שהם ישמשו למטרות בלתי חוקיות ויסכנו את בטחון הציבור ואת חייו</w:t>
      </w:r>
      <w:r>
        <w:rPr>
          <w:rtl w:val="true"/>
        </w:rPr>
        <w:t xml:space="preserve">. </w:t>
      </w:r>
      <w:r>
        <w:rPr>
          <w:rtl w:val="true"/>
        </w:rPr>
        <w:t xml:space="preserve">סיכון כזה קיים גם בעת שכלי הנשק נמצאים בידי מי שאינו עבריין ועל אחת כמה וכמה כאשר הם מוצאים דרכם לידיים עברייניות או לידי גורמים עויינים </w:t>
      </w:r>
      <w:r>
        <w:rPr>
          <w:rtl w:val="true"/>
        </w:rPr>
        <w:t>(</w:t>
      </w:r>
      <w:r>
        <w:rPr>
          <w:rtl w:val="true"/>
        </w:rPr>
        <w:t>אפשרות הקיימת תמיד</w:t>
      </w:r>
      <w:r>
        <w:rPr>
          <w:rtl w:val="true"/>
        </w:rPr>
        <w:t xml:space="preserve">). </w:t>
      </w:r>
      <w:r>
        <w:rPr>
          <w:rtl w:val="true"/>
        </w:rPr>
        <w:t xml:space="preserve">על בתי המשפט להרתיע מפני אפשרות זו  באמצעות ענישה מחמירה </w:t>
      </w:r>
      <w:r>
        <w:rPr>
          <w:rtl w:val="true"/>
        </w:rPr>
        <w:t>[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2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11448/03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דיב גרבאן 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/>
        <w:t>29.3.04</w:t>
      </w:r>
      <w:r>
        <w:rPr>
          <w:rtl w:val="true"/>
        </w:rPr>
        <w:t xml:space="preserve">)].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בתי המשפט קבעו</w:t>
      </w:r>
      <w:r>
        <w:rPr>
          <w:rtl w:val="true"/>
        </w:rPr>
        <w:t xml:space="preserve">, </w:t>
      </w:r>
      <w:r>
        <w:rPr>
          <w:rtl w:val="true"/>
        </w:rPr>
        <w:t>לא אחת</w:t>
      </w:r>
      <w:r>
        <w:rPr>
          <w:rtl w:val="true"/>
        </w:rPr>
        <w:t xml:space="preserve">, </w:t>
      </w:r>
      <w:r>
        <w:rPr>
          <w:rtl w:val="true"/>
        </w:rPr>
        <w:t>שכנגד הפיתוי הכספי אשר יש בסחר בכלי נשק ולאור הסיכון הרב הטמון בהם לבטחון הציבור</w:t>
      </w:r>
      <w:r>
        <w:rPr>
          <w:rtl w:val="true"/>
        </w:rPr>
        <w:t xml:space="preserve">, </w:t>
      </w:r>
      <w:r>
        <w:rPr>
          <w:rtl w:val="true"/>
        </w:rPr>
        <w:t>יש להטיל עונשים כבדים</w:t>
      </w:r>
      <w:r>
        <w:rPr>
          <w:rtl w:val="true"/>
        </w:rPr>
        <w:t xml:space="preserve">, </w:t>
      </w:r>
      <w:r>
        <w:rPr>
          <w:rtl w:val="true"/>
        </w:rPr>
        <w:t>אשר יהיה בהם כדי להרתיע מביצוע עבירות מסוג זה</w:t>
      </w:r>
      <w:r>
        <w:rPr>
          <w:rtl w:val="true"/>
        </w:rPr>
        <w:t>. [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דברי כבוד השופטת פרוקצ</w:t>
      </w:r>
      <w:r>
        <w:rPr>
          <w:rtl w:val="true"/>
        </w:rPr>
        <w:t>'</w:t>
      </w:r>
      <w:r>
        <w:rPr>
          <w:rtl w:val="true"/>
        </w:rPr>
        <w:t>יה ב</w:t>
      </w:r>
      <w:hyperlink r:id="rId2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5318/03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סלע עמר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>(</w:t>
      </w:r>
      <w:r>
        <w:rPr/>
        <w:t>8.1.04</w:t>
      </w:r>
      <w:r>
        <w:rPr>
          <w:rtl w:val="true"/>
        </w:rPr>
        <w:t>)].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 נקבע</w:t>
      </w:r>
      <w:r>
        <w:rPr>
          <w:rtl w:val="true"/>
        </w:rPr>
        <w:t xml:space="preserve">, </w:t>
      </w:r>
      <w:r>
        <w:rPr>
          <w:rtl w:val="true"/>
        </w:rPr>
        <w:t>כי בשל החומרה הרבה והסיכון הרב אשר טמון בעבירה זו</w:t>
      </w:r>
      <w:r>
        <w:rPr>
          <w:rtl w:val="true"/>
        </w:rPr>
        <w:t xml:space="preserve">, </w:t>
      </w:r>
      <w:r>
        <w:rPr>
          <w:rtl w:val="true"/>
        </w:rPr>
        <w:t>יש להטיל עונשי מאסר בגינה</w:t>
      </w:r>
      <w:r>
        <w:rPr>
          <w:rtl w:val="true"/>
        </w:rPr>
        <w:t xml:space="preserve">, </w:t>
      </w:r>
      <w:r>
        <w:rPr>
          <w:rtl w:val="true"/>
        </w:rPr>
        <w:t xml:space="preserve">גם על מי שהורשע </w:t>
      </w:r>
      <w:r>
        <w:rPr>
          <w:u w:val="single"/>
          <w:rtl w:val="true"/>
        </w:rPr>
        <w:t>בהחזקה</w:t>
      </w:r>
      <w:r>
        <w:rPr>
          <w:rtl w:val="true"/>
        </w:rPr>
        <w:t xml:space="preserve"> בלבד </w:t>
      </w:r>
      <w:r>
        <w:rPr>
          <w:rtl w:val="true"/>
        </w:rPr>
        <w:t>(</w:t>
      </w:r>
      <w:r>
        <w:rPr>
          <w:rtl w:val="true"/>
        </w:rPr>
        <w:t xml:space="preserve">ובענייננו – הנאשם הורשע גם בעבירה של </w:t>
      </w:r>
      <w:r>
        <w:rPr>
          <w:u w:val="single"/>
          <w:rtl w:val="true"/>
        </w:rPr>
        <w:t>סחר</w:t>
      </w:r>
      <w:r>
        <w:rPr>
          <w:rtl w:val="true"/>
        </w:rPr>
        <w:t xml:space="preserve"> בנשק</w:t>
      </w:r>
      <w:r>
        <w:rPr>
          <w:rtl w:val="true"/>
        </w:rPr>
        <w:t xml:space="preserve">) </w:t>
      </w:r>
      <w:r>
        <w:rPr>
          <w:rtl w:val="true"/>
        </w:rPr>
        <w:t>וגם אם זו לו העבירה הראשונה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דברי כבוד השופט ג</w:t>
      </w:r>
      <w:r>
        <w:rPr>
          <w:rtl w:val="true"/>
        </w:rPr>
        <w:t>'</w:t>
      </w:r>
      <w:r>
        <w:rPr>
          <w:rtl w:val="true"/>
        </w:rPr>
        <w:t>ובראן ב</w:t>
      </w:r>
      <w:hyperlink r:id="rId2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6583/06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אגם אדהאם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>(</w:t>
      </w:r>
      <w:r>
        <w:rPr/>
        <w:t>5.1.206</w:t>
      </w:r>
      <w:r>
        <w:rPr>
          <w:rtl w:val="true"/>
        </w:rPr>
        <w:t>)].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עברו של הנאשם</w:t>
      </w:r>
      <w:r>
        <w:rPr>
          <w:rtl w:val="true"/>
        </w:rPr>
        <w:t xml:space="preserve">, </w:t>
      </w:r>
      <w:r>
        <w:rPr>
          <w:rtl w:val="true"/>
        </w:rPr>
        <w:t>מעשיו ואף התייחסותו אליהם</w:t>
      </w:r>
      <w:r>
        <w:rPr>
          <w:rtl w:val="true"/>
        </w:rPr>
        <w:t xml:space="preserve">, </w:t>
      </w:r>
      <w:r>
        <w:rPr>
          <w:rtl w:val="true"/>
        </w:rPr>
        <w:t>כפי העולה מתסקיר שירות המבחן מצביעים על כך שהנאשם בחר בדרך חיים עבריינית</w:t>
      </w:r>
      <w:r>
        <w:rPr>
          <w:rtl w:val="true"/>
        </w:rPr>
        <w:t xml:space="preserve">. </w:t>
      </w:r>
      <w:r>
        <w:rPr>
          <w:rtl w:val="true"/>
        </w:rPr>
        <w:t>יש להצטער על כך שהנאשם אינו מפנים את הפסול שבמעשיו ושהוא בוחר בחיי פשע</w:t>
      </w:r>
      <w:r>
        <w:rPr>
          <w:rtl w:val="true"/>
        </w:rPr>
        <w:t xml:space="preserve">, </w:t>
      </w:r>
      <w:r>
        <w:rPr>
          <w:rtl w:val="true"/>
        </w:rPr>
        <w:t>בהם הוא רואה כדאיות ומתייחס באדישות לצורך לשנות דרכו ולשקם את חייו ואין מנוס מלגזור עליו עונש משמעותי ומרתיע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לא אמצה את הדין עם הנאשם ואתחשב</w:t>
      </w:r>
      <w:r>
        <w:rPr>
          <w:rtl w:val="true"/>
        </w:rPr>
        <w:t xml:space="preserve">, </w:t>
      </w:r>
      <w:r>
        <w:rPr>
          <w:rtl w:val="true"/>
        </w:rPr>
        <w:t>לקולא בגילו הצעיר בעת ביצוע העבירות ובהודאתו במסגרת הסדר טיעון</w:t>
      </w:r>
      <w:r>
        <w:rPr>
          <w:rtl w:val="true"/>
        </w:rPr>
        <w:t xml:space="preserve">, </w:t>
      </w:r>
      <w:r>
        <w:rPr>
          <w:rtl w:val="true"/>
        </w:rPr>
        <w:t>למרות שההסדר אינו כולל הסכמה לענין 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 אתחשב לקולא</w:t>
      </w:r>
      <w:r>
        <w:rPr>
          <w:rtl w:val="true"/>
        </w:rPr>
        <w:t xml:space="preserve">, </w:t>
      </w:r>
      <w:r>
        <w:rPr>
          <w:rtl w:val="true"/>
        </w:rPr>
        <w:t>בכך שעברו אינו מכביד ובכך שהמאסר שייגזר עליו בתיק זה</w:t>
      </w:r>
      <w:r>
        <w:rPr>
          <w:rtl w:val="true"/>
        </w:rPr>
        <w:t xml:space="preserve">, </w:t>
      </w:r>
      <w:r>
        <w:rPr>
          <w:rtl w:val="true"/>
        </w:rPr>
        <w:t>הינו מאסרו הראשון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לאור כל האמור לעיל אני גוזרת על הנאשם את העונשים דלקמן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בגין האישום הראשון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 xml:space="preserve">מאסר בפועל לתקופה של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החל מיום מעצרו – </w:t>
      </w:r>
      <w:r>
        <w:rPr/>
        <w:t>6.4.08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 xml:space="preserve">מאסר על תנאי לתקופה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 והתנאי הוא</w:t>
      </w:r>
      <w:r>
        <w:rPr>
          <w:rtl w:val="true"/>
        </w:rPr>
        <w:t xml:space="preserve">, </w:t>
      </w:r>
      <w:r>
        <w:rPr>
          <w:rtl w:val="true"/>
        </w:rPr>
        <w:t xml:space="preserve">שבמשך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מיום שחרורו מכתלי בית האסורים לא יעבור עבירה לפי </w:t>
      </w:r>
      <w:hyperlink r:id="rId28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448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או נסיון לעבור עבירה זו</w:t>
      </w:r>
      <w:r>
        <w:rPr>
          <w:rtl w:val="true"/>
        </w:rPr>
        <w:t xml:space="preserve">, </w:t>
      </w:r>
      <w:r>
        <w:rPr>
          <w:rtl w:val="true"/>
        </w:rPr>
        <w:t>או עבירת קשר לביצוע פשע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30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449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בשל תקופת המאסר</w:t>
      </w:r>
      <w:r>
        <w:rPr>
          <w:rtl w:val="true"/>
        </w:rPr>
        <w:t xml:space="preserve">, </w:t>
      </w:r>
      <w:r>
        <w:rPr>
          <w:rtl w:val="true"/>
        </w:rPr>
        <w:t>לריצוי בפועל</w:t>
      </w:r>
      <w:r>
        <w:rPr>
          <w:rtl w:val="true"/>
        </w:rPr>
        <w:t xml:space="preserve">, </w:t>
      </w:r>
      <w:r>
        <w:rPr>
          <w:rtl w:val="true"/>
        </w:rPr>
        <w:t>שנגזרה על הנאשם בתיק זה לא אגזור עליו קנס ובנסיבות העניין אף אינני מוצאת מקום לפסוק פיצוי למתלונן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בגין האישום השני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 xml:space="preserve">מאסר בפועל לתקופה של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 xml:space="preserve">מאסר על תנאי לתקופה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 והתנאי הוא</w:t>
      </w:r>
      <w:r>
        <w:rPr>
          <w:rtl w:val="true"/>
        </w:rPr>
        <w:t xml:space="preserve">, </w:t>
      </w:r>
      <w:r>
        <w:rPr>
          <w:rtl w:val="true"/>
        </w:rPr>
        <w:t xml:space="preserve">שבמשך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מיום שחרורו מכתלי בית האסורים לא יעבור עבירה לפי </w:t>
      </w:r>
      <w:hyperlink r:id="rId31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406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עבירת נשק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3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 או נסיון לעבור עבירות אלה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על פי גזר דין זה </w:t>
      </w:r>
      <w:r>
        <w:rPr>
          <w:rtl w:val="true"/>
        </w:rPr>
        <w:t xml:space="preserve">-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החל מיום מעצרו – </w:t>
      </w:r>
      <w:r>
        <w:rPr/>
        <w:t>6.4.08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זכות ערעור בתוך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ניתנה והודעה היום ג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טבת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30/12/2008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תמר שרון נתנאל </w:t>
      </w:r>
      <w:r>
        <w:rPr>
          <w:color w:val="000000"/>
          <w:sz w:val="22"/>
          <w:szCs w:val="22"/>
        </w:rPr>
        <w:t>54678313-7077/08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תמר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שרון נתנאל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שופטת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sz w:val="28"/>
          <w:sz w:val="28"/>
          <w:szCs w:val="28"/>
          <w:rtl w:val="true"/>
        </w:rPr>
        <w:t>דיאנה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איטח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/>
      </w:pPr>
      <w:r>
        <w:rPr>
          <w:rtl w:val="true"/>
        </w:rPr>
        <w:t>נוסח מסמך זה כפוף לשינויי ניסוח ועריכה</w:t>
      </w:r>
    </w:p>
    <w:sectPr>
      <w:headerReference w:type="default" r:id="rId34"/>
      <w:footerReference w:type="default" r:id="rId3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/Users/liorb/Downloads/study2025-p2/ME-08-7077.doc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7077-08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 xml:space="preserve">מדינת ישראל </w:t>
    </w:r>
    <w:r>
      <w:rPr>
        <w:color w:val="000000"/>
        <w:sz w:val="22"/>
        <w:szCs w:val="22"/>
        <w:rtl w:val="true"/>
      </w:rPr>
      <w:t xml:space="preserve">- </w:t>
    </w:r>
    <w:r>
      <w:rPr>
        <w:color w:val="000000"/>
        <w:sz w:val="22"/>
        <w:sz w:val="22"/>
        <w:szCs w:val="22"/>
        <w:rtl w:val="true"/>
      </w:rPr>
      <w:t>פרקליטות מחוז חיפה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פלילי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מנשה זיני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7077-08"/>
    <w:docVar w:name="caseId" w:val="7229900"/>
    <w:docVar w:name="deriveClass" w:val="NGCS.Protocol.BL.Client.ProtocolBLClientCriminal"/>
    <w:docVar w:name="firstPageNumber" w:val="6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tegoryID" w:val="14"/>
    <w:docVar w:name="NGCS.userUPN" w:val="כולם"/>
    <w:docVar w:name="privellegeId" w:val="1"/>
    <w:docVar w:name="protocolId" w:val="204566"/>
    <w:docVar w:name="releaseSign" w:val="0"/>
    <w:docVar w:name="sittingDateTime" w:val="30/12/2008 10:00     "/>
    <w:docVar w:name="sittingId" w:val="12293826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cs="Arial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406" TargetMode="External"/><Relationship Id="rId9" Type="http://schemas.openxmlformats.org/officeDocument/2006/relationships/hyperlink" Target="http://www.nevo.co.il/law/70301/406.b" TargetMode="External"/><Relationship Id="rId10" Type="http://schemas.openxmlformats.org/officeDocument/2006/relationships/hyperlink" Target="http://www.nevo.co.il/law/70301/448" TargetMode="External"/><Relationship Id="rId11" Type="http://schemas.openxmlformats.org/officeDocument/2006/relationships/hyperlink" Target="http://www.nevo.co.il/law/70301/449" TargetMode="External"/><Relationship Id="rId12" Type="http://schemas.openxmlformats.org/officeDocument/2006/relationships/hyperlink" Target="http://www.nevo.co.il/law/70301/449.a" TargetMode="External"/><Relationship Id="rId13" Type="http://schemas.openxmlformats.org/officeDocument/2006/relationships/hyperlink" Target="http://www.nevo.co.il/law/70301/449.a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law/70301/448" TargetMode="External"/><Relationship Id="rId17" Type="http://schemas.openxmlformats.org/officeDocument/2006/relationships/hyperlink" Target="http://www.nevo.co.il/law/70301/406.b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144.a" TargetMode="External"/><Relationship Id="rId20" Type="http://schemas.openxmlformats.org/officeDocument/2006/relationships/hyperlink" Target="http://www.nevo.co.il/law/70301/144.b" TargetMode="External"/><Relationship Id="rId21" Type="http://schemas.openxmlformats.org/officeDocument/2006/relationships/hyperlink" Target="http://www.nevo.co.il/law/70301/144.b2" TargetMode="External"/><Relationship Id="rId22" Type="http://schemas.openxmlformats.org/officeDocument/2006/relationships/hyperlink" Target="http://www.nevo.co.il/case/6070359" TargetMode="External"/><Relationship Id="rId23" Type="http://schemas.openxmlformats.org/officeDocument/2006/relationships/hyperlink" Target="http://www.nevo.co.il/case/6241523" TargetMode="External"/><Relationship Id="rId24" Type="http://schemas.openxmlformats.org/officeDocument/2006/relationships/hyperlink" Target="http://www.nevo.co.il/case/5784866" TargetMode="External"/><Relationship Id="rId25" Type="http://schemas.openxmlformats.org/officeDocument/2006/relationships/hyperlink" Target="http://www.nevo.co.il/case/6180713" TargetMode="External"/><Relationship Id="rId26" Type="http://schemas.openxmlformats.org/officeDocument/2006/relationships/hyperlink" Target="http://www.nevo.co.il/case/6006233" TargetMode="External"/><Relationship Id="rId27" Type="http://schemas.openxmlformats.org/officeDocument/2006/relationships/hyperlink" Target="http://www.nevo.co.il/case/6072945" TargetMode="External"/><Relationship Id="rId28" Type="http://schemas.openxmlformats.org/officeDocument/2006/relationships/hyperlink" Target="http://www.nevo.co.il/law/70301/448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449" TargetMode="External"/><Relationship Id="rId31" Type="http://schemas.openxmlformats.org/officeDocument/2006/relationships/hyperlink" Target="http://www.nevo.co.il/law/70301/406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144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2016-08-16T08:46:00Z</dcterms:created>
  <dc:creator> </dc:creator>
  <dc:description/>
  <cp:keywords/>
  <dc:language>en-IL</dc:language>
  <cp:lastModifiedBy>run</cp:lastModifiedBy>
  <cp:lastPrinted>2008-12-30T10:30:00Z</cp:lastPrinted>
  <dcterms:modified xsi:type="dcterms:W3CDTF">2016-08-16T08:46:00Z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- פרקליטות מחוז חיפה-פלילי</vt:lpwstr>
  </property>
  <property fmtid="{D5CDD505-2E9C-101B-9397-08002B2CF9AE}" pid="3" name="APPELLEE">
    <vt:lpwstr>מנשה זיני </vt:lpwstr>
  </property>
  <property fmtid="{D5CDD505-2E9C-101B-9397-08002B2CF9AE}" pid="4" name="CASESLISTTMP1">
    <vt:lpwstr>6070359;6241523;5784866;6180713;6006233;6072945</vt:lpwstr>
  </property>
  <property fmtid="{D5CDD505-2E9C-101B-9397-08002B2CF9AE}" pid="5" name="CITY">
    <vt:lpwstr>חי'</vt:lpwstr>
  </property>
  <property fmtid="{D5CDD505-2E9C-101B-9397-08002B2CF9AE}" pid="6" name="DATE">
    <vt:lpwstr>20081230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תמר שרון נתנאל</vt:lpwstr>
  </property>
  <property fmtid="{D5CDD505-2E9C-101B-9397-08002B2CF9AE}" pid="10" name="LAWLISTTMP1">
    <vt:lpwstr>70301/449.a;029;448:2;406.b;144.a;144.b;144.b2;449;406;144</vt:lpwstr>
  </property>
  <property fmtid="{D5CDD505-2E9C-101B-9397-08002B2CF9AE}" pid="11" name="LAWYER">
    <vt:lpwstr>אילנה רויטבלט פיקוס;ראיד מחאמיד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7077</vt:lpwstr>
  </property>
  <property fmtid="{D5CDD505-2E9C-101B-9397-08002B2CF9AE}" pid="25" name="NEWPARTB">
    <vt:lpwstr/>
  </property>
  <property fmtid="{D5CDD505-2E9C-101B-9397-08002B2CF9AE}" pid="26" name="NEWPARTC">
    <vt:lpwstr>08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>7077</vt:lpwstr>
  </property>
  <property fmtid="{D5CDD505-2E9C-101B-9397-08002B2CF9AE}" pid="33" name="PROCYEAR">
    <vt:lpwstr>08</vt:lpwstr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390020081230</vt:lpwstr>
  </property>
  <property fmtid="{D5CDD505-2E9C-101B-9397-08002B2CF9AE}" pid="37" name="TYPE_N_DATE">
    <vt:lpwstr>39020081230</vt:lpwstr>
  </property>
  <property fmtid="{D5CDD505-2E9C-101B-9397-08002B2CF9AE}" pid="38" name="VOLUME">
    <vt:lpwstr/>
  </property>
  <property fmtid="{D5CDD505-2E9C-101B-9397-08002B2CF9AE}" pid="39" name="WORDNUMPAGES">
    <vt:lpwstr>7</vt:lpwstr>
  </property>
</Properties>
</file>