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7089-08-23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בוקאעי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רמדאן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בוקאעי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אבוהב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bookmarkStart w:id="8" w:name="ABSTRACT_START"/>
      <w:bookmarkEnd w:id="8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8">
        <w:r>
          <w:rPr>
            <w:rStyle w:val="Hyperlink"/>
            <w:rFonts w:ascii="David" w:hAnsi="David" w:eastAsia="Calibri"/>
            <w:color w:val="0000FF"/>
            <w:rtl w:val="true"/>
          </w:rPr>
          <w:t>סעיפים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ב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ירי מנשק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והפרעה לשוטר בעת 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 w:eastAsia="Calibri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275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הסדר הטיעון כלל את תיקון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הושגה בגדרו הסכמה עונשית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לעניין זה יטען כל צד את טענותיו באופן חופשי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נאמר כי שאדי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אזי וחוסין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אזי הם אחים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האחים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אזי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המתגוררים בדירות שונות בבניין מגורים משפחתי בטמרה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הבית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13.7.2023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18:05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בהמשך לאירוע ירי לעבר בית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הנאשם ואדם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שזהותו אינה ידועה למאשימה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האחר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סמוך לבית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כשהם מצוידים באקדח חצי אוטומטי מסוג </w:t>
      </w:r>
      <w:r>
        <w:rPr>
          <w:rFonts w:eastAsia="Calibri" w:cs="Arial" w:ascii="David" w:hAnsi="David"/>
          <w:lang w:bidi="ar-LB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תוצרת בלגיה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מודל </w:t>
      </w:r>
      <w:r>
        <w:rPr>
          <w:rFonts w:eastAsia="Calibri" w:cs="Arial" w:ascii="David" w:hAnsi="David"/>
          <w:lang w:bidi="ar-LB"/>
        </w:rPr>
        <w:t>HP-35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פאראבלום ובמחסנית ותחמושת תואמת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באקדח חצי אוטומטי מסוג </w:t>
      </w:r>
      <w:r>
        <w:rPr>
          <w:rFonts w:eastAsia="Calibri" w:cs="Arial" w:ascii="David" w:hAnsi="David"/>
          <w:lang w:bidi="ar-LB"/>
        </w:rPr>
        <w:t>BUL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תוצרת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מודל </w:t>
      </w:r>
      <w:r>
        <w:rPr>
          <w:rFonts w:eastAsia="Calibri" w:cs="Arial" w:ascii="David" w:hAnsi="David"/>
          <w:lang w:bidi="ar-LB"/>
        </w:rPr>
        <w:t>G-CHEROKEE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פאראבלום ובמחסנית ותחמושת תואמת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האקדחים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הם כלים שסוגלו לירות כדור שבכוחו להמית אדם ולפיכך מהווים נשק כהגדרתו בחוק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והמחסניות הן אביזרים התואמים לכלי הנשק האמורים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 ירה באמצעות האקדחים מספר רב של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אזרחים ששמעו את הירי התקשרו למשטרה לדווח עליו ובעקבות כך נשלחו ניידות משטרה לשכונה בה מצוי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לאתר את מבצעי הירי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18:30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שוטרים לשכונה ואזרחים אמרו להם שהבחינו באדם שביצע את הירי כשהוא רץ לכיוון מטע הזיתים הנמצא בסמוך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והשוטרים ערכו סריקות במקום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שהבחין בשוטרים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לברוח מהם כשהוא מחזיק בידו באקדח מסוג </w:t>
      </w:r>
      <w:r>
        <w:rPr>
          <w:rFonts w:eastAsia="Calibri" w:cs="Arial" w:ascii="David" w:hAnsi="David"/>
          <w:lang w:bidi="ar-LB"/>
        </w:rPr>
        <w:t>FN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להפריע להם כשהם ממלאים תפקידם כחוק או להכשילם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והשוטרים שהבחינו בו קראו לו לעצור ורצו אחריו על מנת לעצרו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התעלם מקריאות השוטרים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לרוץ וטיפס מעל לגדר של חצר בית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כדי להימלט מהם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אחד השוטרים באקדחו ירייה אחת באוויר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אז זרק הנאשם את האקדח שאחז בידו על חומת בטון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המהווה המשך לגדר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בטיפוס עליה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עבר לצד השני של הגדר ונכנס לחצר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כעבור מספר שניות נעצר הנאשם על ידי השוטרים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בחיפוש שנערך בחצר אותר האקדח על חומת הבטון כשבתוכו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בחיפוש על גופו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אותר האקדח השני מסוג </w:t>
      </w:r>
      <w:r>
        <w:rPr>
          <w:rFonts w:eastAsia="Calibri" w:cs="Arial" w:ascii="David" w:hAnsi="David"/>
          <w:lang w:bidi="ar-LB"/>
        </w:rPr>
        <w:t>BUL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כשהוא מוסלק מתחת לגרב אותה גרב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כשבתוכו מחסנית ריקה ובקנהו כדור אחד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ראיותיה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הגישה המאשימה את גיליון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ממנו עולה כי לחובתו הרשעה אחת מבית המשפט המחוזי בחיפה בעבירה של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שוד בנסיבות מחמירות וירי שיש בו כדי לסכן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 הציגה המאשימה את כתב האישום מושא הרשעתו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ואת גזר הדין שניתן באותו עניין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הגישה תצלומי הנזקים שנגרמו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פי הנטען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בעקבות הירי שכוון לביתו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כן העיד אביו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מוחמד בוקאעי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שסיפר כי הוא אב לחמשה ילדים המקיימים אורח חיים נורמטיבי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 הבכור מנהל יחד עם אחת מאחיותיו עסק משפחתי של מספרה ואילו שתי הבנות האחרות עוסקות בהנהלת חשבונות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הוסיף כי עובר לירי שנעשה על 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אירוע ירי שכוון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כשאשתו שהתה אותה עת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אחד מבני משפחת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אזי הוא שביצע את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כי המשטרה לא עשתה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אף שקיבלה את פרטי האירוע ונמסרה לה זהות המבצע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תמצית הטיעונים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לחומרתן של העבירות הנעשות בנשק ולמדיניות הענישה המחמירה המתחייבת על מנת למגרן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לפגיעתן הקשה בשלום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ובחיי אדם ורכושו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להביא בחשבון את התכנון שקדם 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שהנאשם הגיע יחד עם אחר לזירת האירוע כשהם נושאים שני אקדחים בהם הצטיידו מבעוד מועד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נכון הוא שלא נגרם נזק כלשהו כתוצאה מהירי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פוטנציאל הנזק אינו שנוי במחלוקת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למדיניות הענישה הנוהגת במקרים דומים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המאשימה לקבוע כי מתחם העונש ההולם בענייננו נע בין </w:t>
      </w:r>
      <w:r>
        <w:rPr>
          <w:rFonts w:eastAsia="Calibri" w:cs="David" w:ascii="David" w:hAnsi="David"/>
        </w:rPr>
        <w:t>7-4.5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המאשימה בטיעוניה בכתב ובעל פה להפעיל את המאסר המותנה שהוטל על הנאשם בגזר הדין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באופן מצטבר לעונש שיוטל עליו בתיק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שנשמעו טיעוני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המציאה המאשימה הודעה בה נאמר כי מאחר ויכול שנפלה אי הבנה במהלך המו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בכל הקשור למאסר המותנה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חוזרת בה מבקשתה להפעלת התנאי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הנסיבות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מנגד להרשעתו הקודמת בעבירה של ירי מנשק חם ולעובדה כי בעת ביצוע העבירה בענייננו הוא היה אסיר ברישיון כאשר מאסר מותנה תלוי ועומד מעל ראשו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סבורה המאשימה כי יש לגזור את עונשו של הנאשם במחצית המתחם שהוצע על ידה ולהטיל עליו בנוסף קנס כספי משמעותי ומאסר על תנאי לתקופה ארוכה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הפנה לתיקון המשמעותי שנעשה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ייחס תחילה לנאשם ירי לעבר בית מגורים ואילו לאחר תיקונו מיוחסת לו עבירה של ירי מנשק חם 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העבירה של 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מדובר בעבירה שהיא בעלת פוטנציאל סיכון נמוך מעבירה של ירי לעבר אדם או בית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גם שממעשיו של הנאשם לא נגרם בפועל כל נזק לאדם או לרכוש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עוד הפנה הסנגור לאמור בסעיף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לכתב האישום ולדברים שעלו מפי אביו של הנאשם בעדותו בבית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ולפיהם למעשה הירי שנעשה על ידי הנאשם קדם אירוע ירי לעבר בית הוריו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אותו ירי הגיש אבי הנאשם תלונה במשטרה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הגיעה לזירת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צילמה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עשתה דבר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הסנגור ציין את 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וחצי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המוחזק במעצר מיום </w:t>
      </w:r>
      <w:r>
        <w:rPr>
          <w:rFonts w:eastAsia="Calibri" w:cs="David" w:ascii="David" w:hAnsi="David"/>
        </w:rPr>
        <w:t>13.7.2023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הפנה להודאתו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בשלב מוקדם של ההליך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 במסגרת חקירתו במשטרה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סבורה ההגנה כי מתחם העונש ההולם נע בין </w:t>
      </w:r>
      <w:r>
        <w:rPr>
          <w:rFonts w:eastAsia="Calibri" w:cs="David" w:ascii="David" w:hAnsi="David"/>
        </w:rPr>
        <w:t>48-20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יש לגזור את עונשו של הנאשם בשליש התחתון של המתחם ולא בתחתיתו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שהלה ביצע את העבירות מושא הדיון כשהוא אסיר ברישיון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הביע הנאשם צער על מעשיו וביקש סליחה מבית המשפט ומבני משפחתו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בגזירת העונש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העבירה בנסיבותיה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 נדרש בית המשפט להתחשב בערכים החברתיים המוגנים שנפגעו כתוצאה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במקרים דומים ובכלל הנסיבות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12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המוגנים שנפגעו מביצוע העבירות בענייננו הם הערך העליון של קדושת החיים וכן 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גופו וקניינו של האדם ושל הציבור בכללותו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נפגע הערך המוגן של שמירה על שלטון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העליון עמד בפסיקה עקבית על חומרתן היתרה של העבירות בנשק ועל חובתו של בית המשפט להירתם למאבק בהתפשטות עבירות אלו על דרך של החמרת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בלאל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78/21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כן ראו דברי בית המשפט </w:t>
      </w:r>
      <w:r>
        <w:rPr>
          <w:rFonts w:ascii="David" w:hAnsi="David" w:eastAsia="Calibri"/>
          <w:rtl w:val="true"/>
        </w:rPr>
        <w:t>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3619/19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הלאל ואח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26.5.2021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</w:t>
      </w:r>
      <w:r>
        <w:rPr>
          <w:rFonts w:ascii="David" w:hAnsi="David" w:eastAsia="Calibri"/>
          <w:rtl w:val="true"/>
        </w:rPr>
        <w:t>נאמרו בהקשר זה הדברים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1985" w:leader="none"/>
          <w:tab w:val="left" w:pos="2268" w:leader="none"/>
          <w:tab w:val="left" w:pos="2552" w:leader="none"/>
        </w:tabs>
        <w:spacing w:lineRule="auto" w:line="360"/>
        <w:ind w:start="1418" w:end="1429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החזקת נשק חם בידי מי שאינו מורשה לכך עלול להביא לתוצאות הרות אסון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כן העובדה כי לא נגרמה פגיעה בחיי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ראוי להטיל ענישה מוחשית אשר יש בה כדי להרתיע עבריינים פוטנציאליים</w:t>
      </w:r>
      <w:r>
        <w:rPr>
          <w:rFonts w:eastAsia="Calibri" w:cs="Calibri" w:ascii="Calibri" w:hAnsi="Calibri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ובפסיקה מן הימים האחרונים שניתנה ב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6753/23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בסול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01.04.2024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 כי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29"/>
        <w:jc w:val="both"/>
        <w:rPr>
          <w:rFonts w:ascii="David" w:hAnsi="David" w:eastAsia="Calibri" w:cs="David"/>
          <w:i/>
          <w:i/>
        </w:rPr>
      </w:pPr>
      <w:r>
        <w:rPr>
          <w:rFonts w:eastAsia="Calibri" w:cs="David" w:ascii="David" w:hAnsi="David"/>
          <w:i/>
          <w:rtl w:val="true"/>
        </w:rPr>
        <w:t>"</w:t>
      </w:r>
      <w:r>
        <w:rPr>
          <w:rFonts w:ascii="David" w:hAnsi="David" w:eastAsia="Calibri"/>
          <w:i/>
          <w:i/>
          <w:rtl w:val="true"/>
        </w:rPr>
        <w:t>בית משפט זה עמד פעמים רבות על הצורך בהטלת ענישה מחמירה ומרתיעה לשם מיגור עבירות הנשק</w:t>
      </w:r>
      <w:r>
        <w:rPr>
          <w:rFonts w:eastAsia="Calibri" w:cs="David" w:ascii="David" w:hAnsi="David"/>
          <w:i/>
          <w:rtl w:val="true"/>
        </w:rPr>
        <w:t xml:space="preserve">, </w:t>
      </w:r>
      <w:r>
        <w:rPr>
          <w:rFonts w:ascii="David" w:hAnsi="David" w:eastAsia="Calibri"/>
          <w:i/>
          <w:i/>
          <w:rtl w:val="true"/>
        </w:rPr>
        <w:t>אשר הפכו זה מכבר ל</w:t>
      </w:r>
      <w:r>
        <w:rPr>
          <w:rFonts w:eastAsia="Calibri" w:cs="David" w:ascii="David" w:hAnsi="David"/>
          <w:i/>
          <w:rtl w:val="true"/>
        </w:rPr>
        <w:t>"</w:t>
      </w:r>
      <w:r>
        <w:rPr>
          <w:rFonts w:ascii="David" w:hAnsi="David" w:eastAsia="Calibri"/>
          <w:i/>
          <w:i/>
          <w:rtl w:val="true"/>
        </w:rPr>
        <w:t>מכת מדינה</w:t>
      </w:r>
      <w:r>
        <w:rPr>
          <w:rFonts w:eastAsia="Calibri" w:cs="David" w:ascii="David" w:hAnsi="David"/>
          <w:i/>
          <w:rtl w:val="true"/>
        </w:rPr>
        <w:t xml:space="preserve">" </w:t>
      </w:r>
      <w:r>
        <w:rPr>
          <w:rFonts w:ascii="David" w:hAnsi="David" w:eastAsia="Calibri"/>
          <w:i/>
          <w:i/>
          <w:rtl w:val="true"/>
        </w:rPr>
        <w:t xml:space="preserve">של ממש </w:t>
      </w:r>
      <w:r>
        <w:rPr>
          <w:rFonts w:eastAsia="Calibri" w:cs="David" w:ascii="David" w:hAnsi="David"/>
          <w:i/>
          <w:rtl w:val="true"/>
        </w:rPr>
        <w:t>(</w:t>
      </w:r>
      <w:r>
        <w:rPr>
          <w:rFonts w:ascii="David" w:hAnsi="David" w:eastAsia="Calibri"/>
          <w:i/>
          <w:i/>
          <w:rtl w:val="true"/>
        </w:rPr>
        <w:t>ראו למשל</w:t>
      </w:r>
      <w:r>
        <w:rPr>
          <w:rFonts w:eastAsia="Calibri" w:cs="David" w:ascii="David" w:hAnsi="David"/>
          <w:i/>
          <w:rtl w:val="true"/>
        </w:rPr>
        <w:t xml:space="preserve">: </w:t>
      </w:r>
      <w:hyperlink r:id="rId23">
        <w:r>
          <w:rPr>
            <w:rStyle w:val="Hyperlink"/>
            <w:rFonts w:ascii="David" w:hAnsi="David" w:eastAsia="Calibri"/>
            <w:i/>
            <w:i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i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i/>
            <w:i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i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i/>
          <w:rtl w:val="true"/>
        </w:rPr>
        <w:t xml:space="preserve"> </w:t>
      </w:r>
      <w:r>
        <w:rPr>
          <w:rFonts w:ascii="David" w:hAnsi="David" w:eastAsia="Calibri"/>
          <w:i/>
          <w:i/>
          <w:rtl w:val="true"/>
        </w:rPr>
        <w:t>חווא נ</w:t>
      </w:r>
      <w:r>
        <w:rPr>
          <w:rFonts w:eastAsia="Calibri" w:cs="David" w:ascii="David" w:hAnsi="David"/>
          <w:i/>
          <w:rtl w:val="true"/>
        </w:rPr>
        <w:t xml:space="preserve">' </w:t>
      </w:r>
      <w:r>
        <w:rPr>
          <w:rFonts w:ascii="David" w:hAnsi="David" w:eastAsia="Calibri"/>
          <w:i/>
          <w:i/>
          <w:rtl w:val="true"/>
        </w:rPr>
        <w:t>מדינת ישראל</w:t>
      </w:r>
      <w:r>
        <w:rPr>
          <w:rFonts w:eastAsia="Calibri" w:cs="David" w:ascii="David" w:hAnsi="David"/>
          <w:i/>
          <w:rtl w:val="true"/>
        </w:rPr>
        <w:t xml:space="preserve">, </w:t>
      </w:r>
      <w:r>
        <w:rPr>
          <w:rFonts w:ascii="David" w:hAnsi="David" w:eastAsia="Calibri"/>
          <w:i/>
          <w:i/>
          <w:rtl w:val="true"/>
        </w:rPr>
        <w:t xml:space="preserve">פסקה </w:t>
      </w:r>
      <w:r>
        <w:rPr>
          <w:rFonts w:eastAsia="Calibri" w:cs="David" w:ascii="David" w:hAnsi="David"/>
          <w:i/>
        </w:rPr>
        <w:t>11</w:t>
      </w:r>
      <w:r>
        <w:rPr>
          <w:rFonts w:eastAsia="Calibri" w:cs="David" w:ascii="David" w:hAnsi="David"/>
          <w:i/>
          <w:rtl w:val="true"/>
        </w:rPr>
        <w:t xml:space="preserve"> [</w:t>
      </w:r>
      <w:r>
        <w:rPr>
          <w:rFonts w:ascii="David" w:hAnsi="David" w:eastAsia="Calibri"/>
          <w:i/>
          <w:i/>
          <w:rtl w:val="true"/>
        </w:rPr>
        <w:t>פורסם בנבו</w:t>
      </w:r>
      <w:r>
        <w:rPr>
          <w:rFonts w:eastAsia="Calibri" w:cs="David" w:ascii="David" w:hAnsi="David"/>
          <w:i/>
          <w:rtl w:val="true"/>
        </w:rPr>
        <w:t>] (</w:t>
      </w:r>
      <w:r>
        <w:rPr>
          <w:rFonts w:eastAsia="Calibri" w:cs="David" w:ascii="David" w:hAnsi="David"/>
          <w:i/>
        </w:rPr>
        <w:t>20.12.2023</w:t>
      </w:r>
      <w:r>
        <w:rPr>
          <w:rFonts w:eastAsia="Calibri" w:cs="David" w:ascii="David" w:hAnsi="David"/>
          <w:i/>
          <w:rtl w:val="true"/>
        </w:rPr>
        <w:t xml:space="preserve">); </w:t>
      </w:r>
      <w:hyperlink r:id="rId24">
        <w:r>
          <w:rPr>
            <w:rStyle w:val="Hyperlink"/>
            <w:rFonts w:ascii="David" w:hAnsi="David" w:eastAsia="Calibri"/>
            <w:i/>
            <w:i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i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i/>
            <w:i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i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i/>
          <w:rtl w:val="true"/>
        </w:rPr>
        <w:t xml:space="preserve"> </w:t>
      </w:r>
      <w:r>
        <w:rPr>
          <w:rFonts w:ascii="David" w:hAnsi="David" w:eastAsia="Calibri"/>
          <w:i/>
          <w:i/>
          <w:rtl w:val="true"/>
        </w:rPr>
        <w:t>מדינת ישראל נ</w:t>
      </w:r>
      <w:r>
        <w:rPr>
          <w:rFonts w:eastAsia="Calibri" w:cs="David" w:ascii="David" w:hAnsi="David"/>
          <w:i/>
          <w:rtl w:val="true"/>
        </w:rPr>
        <w:t xml:space="preserve">' </w:t>
      </w:r>
      <w:r>
        <w:rPr>
          <w:rFonts w:ascii="David" w:hAnsi="David" w:eastAsia="Calibri"/>
          <w:i/>
          <w:i/>
          <w:rtl w:val="true"/>
        </w:rPr>
        <w:t>ביטון</w:t>
      </w:r>
      <w:r>
        <w:rPr>
          <w:rFonts w:eastAsia="Calibri" w:cs="David" w:ascii="David" w:hAnsi="David"/>
          <w:i/>
          <w:rtl w:val="true"/>
        </w:rPr>
        <w:t xml:space="preserve">, </w:t>
      </w:r>
      <w:r>
        <w:rPr>
          <w:rFonts w:ascii="David" w:hAnsi="David" w:eastAsia="Calibri"/>
          <w:i/>
          <w:i/>
          <w:rtl w:val="true"/>
        </w:rPr>
        <w:t xml:space="preserve">פסקה </w:t>
      </w:r>
      <w:r>
        <w:rPr>
          <w:rFonts w:eastAsia="Calibri" w:cs="David" w:ascii="David" w:hAnsi="David"/>
          <w:i/>
        </w:rPr>
        <w:t>7</w:t>
      </w:r>
      <w:r>
        <w:rPr>
          <w:rFonts w:eastAsia="Calibri" w:cs="David" w:ascii="David" w:hAnsi="David"/>
          <w:i/>
          <w:rtl w:val="true"/>
        </w:rPr>
        <w:t xml:space="preserve"> [</w:t>
      </w:r>
      <w:r>
        <w:rPr>
          <w:rFonts w:ascii="David" w:hAnsi="David" w:eastAsia="Calibri"/>
          <w:i/>
          <w:i/>
          <w:rtl w:val="true"/>
        </w:rPr>
        <w:t>פורסם בנבו</w:t>
      </w:r>
      <w:r>
        <w:rPr>
          <w:rFonts w:eastAsia="Calibri" w:cs="David" w:ascii="David" w:hAnsi="David"/>
          <w:i/>
          <w:rtl w:val="true"/>
        </w:rPr>
        <w:t>]</w:t>
      </w:r>
      <w:r>
        <w:rPr>
          <w:rFonts w:eastAsia="Calibri" w:cs="David" w:ascii="David" w:hAnsi="David"/>
          <w:i/>
          <w:rtl w:val="true"/>
        </w:rPr>
        <w:t xml:space="preserve"> </w:t>
      </w:r>
      <w:r>
        <w:rPr>
          <w:rFonts w:eastAsia="Calibri" w:cs="David" w:ascii="David" w:hAnsi="David"/>
          <w:i/>
          <w:rtl w:val="true"/>
        </w:rPr>
        <w:t>(</w:t>
      </w:r>
      <w:r>
        <w:rPr>
          <w:rFonts w:eastAsia="Calibri" w:cs="David" w:ascii="David" w:hAnsi="David"/>
          <w:i/>
        </w:rPr>
        <w:t>14.2.2021</w:t>
      </w:r>
      <w:r>
        <w:rPr>
          <w:rFonts w:eastAsia="Calibri" w:cs="David" w:ascii="David" w:hAnsi="David"/>
          <w:i/>
          <w:rtl w:val="true"/>
        </w:rPr>
        <w:t xml:space="preserve">). </w:t>
      </w:r>
      <w:r>
        <w:rPr>
          <w:rFonts w:ascii="David" w:hAnsi="David" w:eastAsia="Calibri"/>
          <w:i/>
          <w:i/>
          <w:rtl w:val="true"/>
        </w:rPr>
        <w:t xml:space="preserve">הדברים נכונים עת עסקינן בעבירות של נשיאה והובלה של נשק </w:t>
      </w:r>
      <w:r>
        <w:rPr>
          <w:rFonts w:eastAsia="Calibri" w:cs="David" w:ascii="David" w:hAnsi="David"/>
          <w:i/>
          <w:rtl w:val="true"/>
        </w:rPr>
        <w:t>(</w:t>
      </w:r>
      <w:r>
        <w:rPr>
          <w:rFonts w:ascii="David" w:hAnsi="David" w:eastAsia="Calibri"/>
          <w:i/>
          <w:i/>
          <w:rtl w:val="true"/>
        </w:rPr>
        <w:t>ראו למשל</w:t>
      </w:r>
      <w:r>
        <w:rPr>
          <w:rFonts w:eastAsia="Calibri" w:cs="David" w:ascii="David" w:hAnsi="David"/>
          <w:i/>
          <w:rtl w:val="true"/>
        </w:rPr>
        <w:t xml:space="preserve">: </w:t>
      </w:r>
      <w:hyperlink r:id="rId25">
        <w:r>
          <w:rPr>
            <w:rStyle w:val="Hyperlink"/>
            <w:rFonts w:ascii="David" w:hAnsi="David" w:eastAsia="Calibri"/>
            <w:i/>
            <w:i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i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i/>
            <w:i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i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i/>
          <w:rtl w:val="true"/>
        </w:rPr>
        <w:t xml:space="preserve"> </w:t>
      </w:r>
      <w:r>
        <w:rPr>
          <w:rFonts w:ascii="David" w:hAnsi="David" w:eastAsia="Calibri"/>
          <w:i/>
          <w:i/>
          <w:rtl w:val="true"/>
        </w:rPr>
        <w:t>מדינת ישראל נ</w:t>
      </w:r>
      <w:r>
        <w:rPr>
          <w:rFonts w:eastAsia="Calibri" w:cs="David" w:ascii="David" w:hAnsi="David"/>
          <w:i/>
          <w:rtl w:val="true"/>
        </w:rPr>
        <w:t xml:space="preserve">' </w:t>
      </w:r>
      <w:r>
        <w:rPr>
          <w:rFonts w:ascii="David" w:hAnsi="David" w:eastAsia="Calibri"/>
          <w:i/>
          <w:i/>
          <w:rtl w:val="true"/>
        </w:rPr>
        <w:t>פלוני</w:t>
      </w:r>
      <w:r>
        <w:rPr>
          <w:rFonts w:eastAsia="Calibri" w:cs="David" w:ascii="David" w:hAnsi="David"/>
          <w:i/>
          <w:rtl w:val="true"/>
        </w:rPr>
        <w:t xml:space="preserve">, </w:t>
      </w:r>
      <w:r>
        <w:rPr>
          <w:rFonts w:ascii="David" w:hAnsi="David" w:eastAsia="Calibri"/>
          <w:i/>
          <w:i/>
          <w:rtl w:val="true"/>
        </w:rPr>
        <w:t xml:space="preserve">פסקה </w:t>
      </w:r>
      <w:r>
        <w:rPr>
          <w:rFonts w:eastAsia="Calibri" w:cs="David" w:ascii="David" w:hAnsi="David"/>
          <w:i/>
        </w:rPr>
        <w:t>16</w:t>
      </w:r>
      <w:r>
        <w:rPr>
          <w:rFonts w:eastAsia="Calibri" w:cs="David" w:ascii="David" w:hAnsi="David"/>
          <w:i/>
          <w:rtl w:val="true"/>
        </w:rPr>
        <w:t xml:space="preserve"> [</w:t>
      </w:r>
      <w:r>
        <w:rPr>
          <w:rFonts w:ascii="David" w:hAnsi="David" w:eastAsia="Calibri"/>
          <w:i/>
          <w:i/>
          <w:rtl w:val="true"/>
        </w:rPr>
        <w:t>פורסם בנבו</w:t>
      </w:r>
      <w:r>
        <w:rPr>
          <w:rFonts w:eastAsia="Calibri" w:cs="David" w:ascii="David" w:hAnsi="David"/>
          <w:i/>
          <w:rtl w:val="true"/>
        </w:rPr>
        <w:t>]</w:t>
      </w:r>
      <w:r>
        <w:rPr>
          <w:rFonts w:eastAsia="Calibri" w:cs="David" w:ascii="David" w:hAnsi="David"/>
          <w:i/>
          <w:rtl w:val="true"/>
        </w:rPr>
        <w:t xml:space="preserve"> </w:t>
      </w:r>
      <w:r>
        <w:rPr>
          <w:rFonts w:eastAsia="Calibri" w:cs="David" w:ascii="David" w:hAnsi="David"/>
          <w:i/>
          <w:rtl w:val="true"/>
        </w:rPr>
        <w:t xml:space="preserve"> (</w:t>
      </w:r>
      <w:r>
        <w:rPr>
          <w:rFonts w:eastAsia="Calibri" w:cs="David" w:ascii="David" w:hAnsi="David"/>
          <w:i/>
        </w:rPr>
        <w:t>14.9.2022</w:t>
      </w:r>
      <w:r>
        <w:rPr>
          <w:rFonts w:eastAsia="Calibri" w:cs="David" w:ascii="David" w:hAnsi="David"/>
          <w:i/>
          <w:rtl w:val="true"/>
        </w:rPr>
        <w:t>)</w:t>
      </w:r>
      <w:r>
        <w:rPr>
          <w:rFonts w:eastAsia="Calibri" w:cs="David" w:ascii="David" w:hAnsi="David"/>
          <w:i/>
          <w:rtl w:val="true"/>
        </w:rPr>
        <w:t xml:space="preserve">), </w:t>
      </w:r>
      <w:r>
        <w:rPr>
          <w:rFonts w:ascii="David" w:hAnsi="David" w:eastAsia="Calibri"/>
          <w:i/>
          <w:i/>
          <w:rtl w:val="true"/>
        </w:rPr>
        <w:t>והם נכונים ביתר שאת כאשר מדובר</w:t>
      </w:r>
      <w:r>
        <w:rPr>
          <w:rFonts w:eastAsia="Calibri" w:cs="David" w:ascii="David" w:hAnsi="David"/>
          <w:i/>
          <w:rtl w:val="true"/>
        </w:rPr>
        <w:t xml:space="preserve">, </w:t>
      </w:r>
      <w:r>
        <w:rPr>
          <w:rFonts w:ascii="David" w:hAnsi="David" w:eastAsia="Calibri"/>
          <w:i/>
          <w:i/>
          <w:rtl w:val="true"/>
        </w:rPr>
        <w:t>כמו במקרה שלפנינו</w:t>
      </w:r>
      <w:r>
        <w:rPr>
          <w:rFonts w:eastAsia="Calibri" w:cs="David" w:ascii="David" w:hAnsi="David"/>
          <w:i/>
          <w:rtl w:val="true"/>
        </w:rPr>
        <w:t xml:space="preserve">, </w:t>
      </w:r>
      <w:r>
        <w:rPr>
          <w:rFonts w:ascii="David" w:hAnsi="David" w:eastAsia="Calibri"/>
          <w:i/>
          <w:i/>
          <w:rtl w:val="true"/>
        </w:rPr>
        <w:t>באירוע בו נעשה שימוש בפועל בנשק ונורו יריות</w:t>
      </w:r>
      <w:r>
        <w:rPr>
          <w:rFonts w:eastAsia="Calibri" w:cs="David" w:ascii="David" w:hAnsi="David"/>
          <w:i/>
          <w:rtl w:val="true"/>
        </w:rPr>
        <w:t>"</w:t>
      </w:r>
      <w:r>
        <w:rPr>
          <w:rFonts w:eastAsia="Calibri" w:cs="David" w:ascii="David" w:hAnsi="David"/>
          <w:i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i/>
          <w:i/>
        </w:rPr>
      </w:pPr>
      <w:r>
        <w:rPr>
          <w:rFonts w:eastAsia="Calibri" w:cs="David" w:ascii="David" w:hAnsi="David"/>
          <w:i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</w:rPr>
        <w:t>ראו עוד בנדון</w:t>
      </w:r>
      <w:r>
        <w:rPr>
          <w:rFonts w:eastAsia="Calibri" w:cs="David" w:ascii="David" w:hAnsi="David"/>
          <w:rtl w:val="true"/>
        </w:rPr>
        <w:t>:</w:t>
      </w:r>
      <w:r>
        <w:rPr>
          <w:rFonts w:eastAsia="Calibri" w:cs="Calibri" w:ascii="Calibri" w:hAnsi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2033/21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זועבי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30.8.21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7473/20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מחאמיד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135/17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בסל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08.03.17</w:t>
      </w:r>
      <w:r>
        <w:rPr>
          <w:rFonts w:eastAsia="Calibri" w:cs="Calibri" w:ascii="Calibri" w:hAnsi="Calibri"/>
          <w:rtl w:val="true"/>
        </w:rPr>
        <w:t xml:space="preserve">); 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4079/21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6277/20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היילי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24.3.21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14.2.21</w:t>
      </w:r>
      <w:r>
        <w:rPr>
          <w:rFonts w:eastAsia="Calibri" w:cs="Calibri" w:ascii="Calibri" w:hAnsi="Calibri"/>
          <w:rtl w:val="true"/>
        </w:rPr>
        <w:t xml:space="preserve">); </w:t>
      </w:r>
      <w:hyperlink r:id="rId3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18.7.19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ממדי התופעה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הפוגעת בחייהם ובביטחונם של מגזרים נרחבים באוכלוסייה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נרתם אף המחוקק למלחמה נגדה בדרך של תיקון 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אשר 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תיקון זה נועד להחמיר בענישה 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בתקופה של שלוש שנים מיום פרסומו של התיקון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34">
        <w:r>
          <w:rPr>
            <w:rStyle w:val="Hyperlink"/>
            <w:rFonts w:ascii="David" w:hAnsi="David" w:eastAsia="Calibri"/>
            <w:color w:val="0000FF"/>
            <w:rtl w:val="true"/>
          </w:rPr>
          <w:t>בסעיף</w:t>
        </w:r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על פי אותו סעיף לא יהא כולו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חקיקה זו מעידה על ההחמרה שבה ראה גם המחוקק להתייחס לעבירות בנשק באשר 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חרף מדיניות ההחמרה בענישה ביחס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נקט בית המשפט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אף תיקוני החקיקה שנעשו בניסיון לבלום את ממדי התופעה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ממשיכים עברייני הנשק לזרוע פורענות וקטל במרחב הציבורי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פגיעה בביטחונם ובחייהם של מגזרים נרחבים באוכלוסייה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המבקשים לחיות את חייהם בבטחה ובשלום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תופעה זו של שימוש בנשק חם כדבר שבשגרה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שהפכה להיות חולה רעה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בחברה הערבית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מחייבת שילוב ידיים של כלל הגורמים הרלוונטיים על מנת למגרה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אף כי נראה לעתים שכל מה שניתן להיאמר בהקשר זה כבר נאמר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לחזור ולומר את הדברים בקול ברור וחד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אין מקום לגלות סובלנות או סלחנות כלפי מי שנוטל לידיו נשק באופן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כלפי מי שעושה בו שימוש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העבירות בנשק הובילו לגדיעת חייהם של מאות אזרחים בשנה האחרונה והן הפכו כמעט מעשה של יום ביומו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שעליה מוטלת החובה לנקוט בפעולות תקיפות ואינטנסיביות על מנת לתפוס אותם עבריינים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מוטלת החובה על בית המשפט לנקוט ביד קשה כאשר אותם עברייני נשק מובאים בפניו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זהו צו השעה והימים הם ימי חירום המחייבים העדפת האינטרס הציבורי על פני שיקולים אישיים כאלה ואחרים של עברייני הנשק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העובדה שלירי שבוצע על ידי הנאשם קדם אירוע ירי לעבר 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שצוין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בה כדי להקהות מחומרת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להשלים עם מצב בו אזרחים נוטלים את החוק לידיים ומבצעים פעולות נקם בתגובה לעבירות שנעשו כלפיהם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דברים אלה נכונים גם אם אותם אזרחים סבורים או חשים כי המשטרה מגלה אוזלת יד ביחס לעבירות שנעשו כלפיהם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כל מקום להתיר את הרסן ולאפשר עשיית דין עצמי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לעובדה כי עבירת הירי שיוחסה בסופו של דבר לנאשם אינה במדרג חומרה גבוה ביחס לעבירות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בעבירה שהעונש המרבי שנקבע בצדה עומד על מאסר בן שנתיים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עבירת הירי הורשע הנאשם גם בעבירה של נשיאה והובלה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שהעונש המרבי הקבוע בצדה עומד על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עובדות כתב האישום בענייננו מלמדות על התארגנות שקדמה לביצוע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בהמשך לאירוע ירי לעבר ביתו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הנאשם יחד עם אחר סמוך לביתם של האחים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אזי כשהם מצוידים בשני אקדחים חצי אוטומטיים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באירוע ספונטני או בהתפרצות רגעית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במעשה שתואם בין הנאשם והאחר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שכלל הצטיידות בכלי נשק והגעה קרוב לביתם של האחים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השתלשלות זו של האירועים מלמדת על התארגנות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והיערכות מבעוד מועד לביצוע העבירה כמו גם על נחישותו של הנאשם לבצעה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מהירי לא נגרם אמנם נזק כלשהו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שמדובר בירי שנעשה סמוך לביתם של האחים חג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אזי כפי שצוין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לקבוע כי פוטנציאל הנזק שעלול היה להיגרם הוא רב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בבואי לבחון את מדיניות הענישה הנוהגת לגבי עבירות </w:t>
      </w:r>
      <w:r>
        <w:rPr>
          <w:rFonts w:ascii="David" w:hAnsi="David" w:eastAsia="Calibri"/>
          <w:rtl w:val="true"/>
        </w:rPr>
        <w:t xml:space="preserve">הנשק </w:t>
      </w:r>
      <w:r>
        <w:rPr>
          <w:rFonts w:ascii="David" w:hAnsi="David" w:eastAsia="Calibri"/>
          <w:rtl w:val="true"/>
        </w:rPr>
        <w:t>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להפנות ל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פלוני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שם נאמר כי מתחם העונש ההולם שראוי לקבוע לגבי נאשם בגיר שהורשע בנשיאה של נשק חם באופן בלתי חוקי במרחב הציבורי נע בין </w:t>
      </w:r>
      <w:r>
        <w:rPr>
          <w:rFonts w:eastAsia="Calibri" w:cs="David" w:ascii="David" w:hAnsi="David"/>
        </w:rPr>
        <w:t>42-30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מספר דוגמאות המשקפות את מדיניות הענישה הנוהגת ביחס לעבירה של נשיאה והובלה של נשק</w:t>
      </w:r>
      <w:r>
        <w:rPr>
          <w:rFonts w:ascii="David" w:hAnsi="David" w:eastAsia="Calibri"/>
          <w:rtl w:val="true"/>
        </w:rPr>
        <w:t xml:space="preserve"> וירי מנשק 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6.12.2023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בעבירה של החזקה ונשיאה של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 באותו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כשנה וחצי עובר למועד הרלוונטי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המערער אקדח טעון במחסנית התואמת לו ובתוכה שישה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יצא המערער מביתו כשהוא מחזיק ונושא את האקדח טעון במחסנית ובכדורים וכשהנשק מוסתר בבגדיו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והלך יחד עם אשתו לכיוון רכבו שחנה בסמוך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שוטרים שהיו בתצפית יזומה עליו הבחינו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שזיהה אותם הוא החל לברוח מפניהם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הורו לו השוטרים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נענה להם המערער ותוך כדי הימלטותו הוציא את האקדח והחזיקו בידו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שלף אחד השוטרים את נשקו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אותו וכיוון אותו לעבר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שאז הוא נעצר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אישר את העונש שהושת על ידי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שכלל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שנגזר על המערער אינו מחמיר עמו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ביאדסה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שני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שנסע ברכב כשהוא מוביל 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וכן אקדח חצי אוטומטי טעון במחסנית תואמת המכילה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המשיב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התערב בקולת העונש והעמידו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000000"/>
          <w:rtl w:val="true"/>
        </w:rPr>
        <w:tab/>
      </w:r>
      <w:r>
        <w:rPr>
          <w:rFonts w:ascii="Calibri" w:hAnsi="Calibri" w:eastAsia="Calibri" w:cs="Calibri"/>
          <w:color w:val="000000"/>
          <w:rtl w:val="true"/>
        </w:rPr>
        <w:t>ב</w:t>
      </w:r>
      <w:hyperlink r:id="rId3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6068/21</w:t>
        </w:r>
      </w:hyperlink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color w:val="000000"/>
          <w:rtl w:val="true"/>
        </w:rPr>
        <w:t>אברהים פקיה</w:t>
      </w:r>
      <w:r>
        <w:rPr>
          <w:rFonts w:ascii="Calibri" w:hAnsi="Calibri" w:eastAsia="Calibri" w:cs="Calibri"/>
          <w:color w:val="000000"/>
          <w:rtl w:val="true"/>
        </w:rPr>
        <w:t xml:space="preserve"> </w:t>
      </w:r>
      <w:r>
        <w:rPr>
          <w:rFonts w:eastAsia="Calibri" w:cs="Calibri" w:ascii="Calibri" w:hAnsi="Calibri"/>
          <w:color w:val="000000"/>
          <w:rtl w:val="true"/>
        </w:rPr>
        <w:t>(</w:t>
      </w:r>
      <w:r>
        <w:rPr>
          <w:rFonts w:eastAsia="Calibri" w:cs="Calibri" w:ascii="Calibri" w:hAnsi="Calibri"/>
          <w:color w:val="000000"/>
        </w:rPr>
        <w:t>19.12.2021</w:t>
      </w:r>
      <w:r>
        <w:rPr>
          <w:rFonts w:eastAsia="Calibri"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eastAsia="Calibri" w:cs="Calibri"/>
          <w:color w:val="000000"/>
          <w:rtl w:val="true"/>
        </w:rPr>
        <w:t>נדון עניינו של מי שהורשע בעבירה של נשיאה והובלה של כלי נשק וביצוע ירי באזור מגורים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rtl w:val="true"/>
        </w:rPr>
        <w:t xml:space="preserve">בית המשפט המחוזי קבע מתחם שנע בין </w:t>
      </w:r>
      <w:r>
        <w:rPr>
          <w:rFonts w:eastAsia="Calibri" w:cs="Calibri" w:ascii="Calibri" w:hAnsi="Calibri"/>
          <w:color w:val="000000"/>
        </w:rPr>
        <w:t>14</w:t>
      </w:r>
      <w:r>
        <w:rPr>
          <w:rFonts w:eastAsia="Calibri" w:cs="Calibri" w:ascii="Calibri" w:hAnsi="Calibri"/>
          <w:color w:val="000000"/>
          <w:rtl w:val="true"/>
        </w:rPr>
        <w:t xml:space="preserve"> - </w:t>
      </w:r>
      <w:r>
        <w:rPr>
          <w:rFonts w:eastAsia="Calibri" w:cs="Calibri" w:ascii="Calibri" w:hAnsi="Calibri"/>
          <w:color w:val="000000"/>
        </w:rPr>
        <w:t>36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 xml:space="preserve">חודשי מאסר וגזר על המשיב </w:t>
      </w:r>
      <w:r>
        <w:rPr>
          <w:rFonts w:eastAsia="Calibri" w:cs="Calibri" w:ascii="Calibri" w:hAnsi="Calibri"/>
          <w:color w:val="000000"/>
        </w:rPr>
        <w:t>14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>חודשי מאסר לריצוי בפועל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rtl w:val="true"/>
        </w:rPr>
        <w:t xml:space="preserve">ערעור המדינה על קולת העונש התקבל ובית המשפט העליון העמיד את עונשו של המשיב על </w:t>
      </w:r>
      <w:r>
        <w:rPr>
          <w:rFonts w:eastAsia="Calibri" w:cs="Calibri" w:ascii="Calibri" w:hAnsi="Calibri"/>
          <w:color w:val="000000"/>
        </w:rPr>
        <w:t>25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>חודשי מאסר</w:t>
      </w:r>
      <w:r>
        <w:rPr>
          <w:rFonts w:eastAsia="Calibri"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rtl w:val="true"/>
        </w:rPr>
        <w:t>תוך שהדגיש את הכלל לפיו ערכאת הערעור אינה נוהגת למצות את הדין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567" w:end="0"/>
        <w:jc w:val="both"/>
        <w:rPr/>
      </w:pPr>
      <w:r>
        <w:rPr>
          <w:rFonts w:ascii="David" w:hAnsi="David" w:eastAsia="Calibri"/>
          <w:rtl w:val="true"/>
        </w:rPr>
        <w:t>ב</w:t>
      </w:r>
      <w:hyperlink r:id="rId4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1427/21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שוויקי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26.5.2021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>נדחה ערעורו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עבר פלילי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בנשיאת נשק וביצוע ירי מנשק חם ונידון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לאחר שנקבע בעניינו מתחם ענישה הנע בין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דובר בנאשם שהגיע למקום בו התקהלו עשרות אנשים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נעמד סמוך להתקהלות וירה באוויר לפחות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דחה כאמור את הערעור על חומרת העונש בקבעו כי מדובר בעבירות נשק שביחס אליהן קיימת מגמת החמרה בפסיקה ולא בכדי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במעשים חמורים שפוטנציאל הנזק הגלום בהם עצום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ואך מזל הוא שהאירוע לא הסתיים בפגיעה בנפש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נשיאה והובלת נשק ותחמושת שלא כדין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במערער שנסע עם אדם אחר כשהוא נושא 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 הרכב למחסום משטרתי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הנהג 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המערער יצא מהרכב והחל להימלט מהמקום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הרשיע את המערער לאחר ניהול הוכחות וגזר עליו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כנגד הכרעת הדין וכנגד חומרת העונש בגזר הדין נדחה על ידי בית המשפט העליון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4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5765/20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בכר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22.3.2021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נדון עניינם של מערערים שנשאו והובילו ברכב שני אקדחים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כשבכל אקדח מחסנית מלאה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כאשר סימנו להם שוטרים לעצור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המשיך הנהג בנסיעה קצרה ולאחר שעצר את הרכב יצא חברו מהרכב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רץ אל עבר חצר סמוכה ושם השליך את האקדחים והמחסניות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הטיל על כל אחד מהם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הגם שמדובר בצעירים נעדרי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הערעור על חומרת העונש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שנתתי דעתי לערכים החברתיים שנפגעו כתוצאה מביצוע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למידת הפגיעה באותם ערכים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ששקלתי את נסיבות ביצוע העבירות ואת מדיניות הענישה הנוהגת לגביהן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סבור כי מתחם העונש ההולם בענייננו נע בין </w:t>
      </w:r>
      <w:r>
        <w:rPr>
          <w:rFonts w:eastAsia="Calibri" w:cs="David" w:ascii="David" w:hAnsi="David"/>
        </w:rPr>
        <w:t>50-28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שאינן קשורות בביצוע העבירות ראיתי להביא בחשבון את 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בשלב מוקדם של ההליך ומבטאת נטילת אחריות מצדו על 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מצד 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לזקוף לחובתו של הנאשם את העובדה כי אין זו הסתבכותו הראשונה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חרף 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וחצי בסך הכל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הספיק הנאשם לצבור הרשעה בעבירה חמורה של ירי מנשק חם באזור מגורים ושוד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בגינה נגזרו עליו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יתרה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ביצע את העבירות מושא ענייננו בעודו אסיר ברישיון וכאשר עונש מאסר מותנה תלוי ועומד נגדו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דומה כי למרבה הצער הנאשם לא למד את הלקח מהרשעתו הקודמת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בחר להמשיך בדרך חיים עבריינית על כל המשתמע מכך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רואה לגזור את עונשו של הנאשם בסמוך לשליש התחתון של מתחם העונש שנקבע לגביו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הואיל והמאשימה חזרה בה מבקשתה להפעלת התנאי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נוכח אי ההבנה במהלך המו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בין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בכל הקשור למאסר המותנה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מקום להורות על הפעלתו של התנאי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לריצוי בפועל שמניינם יחל במועד מעצרו ביום </w:t>
      </w:r>
      <w:r>
        <w:rPr>
          <w:rFonts w:eastAsia="Calibri" w:cs="David" w:ascii="David" w:hAnsi="David"/>
        </w:rPr>
        <w:t>13.7.2023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אלימות או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אלימות או נשק מסוג עוון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7089-08-23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רמדאן כרים בוקאעי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.a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9486731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8452933" TargetMode="External"/><Relationship Id="rId17" Type="http://schemas.openxmlformats.org/officeDocument/2006/relationships/hyperlink" Target="http://www.nevo.co.il/case/28660017" TargetMode="External"/><Relationship Id="rId18" Type="http://schemas.openxmlformats.org/officeDocument/2006/relationships/hyperlink" Target="http://www.nevo.co.il/case/29564821" TargetMode="External"/><Relationship Id="rId19" Type="http://schemas.openxmlformats.org/officeDocument/2006/relationships/hyperlink" Target="http://www.nevo.co.il/case/28207045" TargetMode="External"/><Relationship Id="rId20" Type="http://schemas.openxmlformats.org/officeDocument/2006/relationships/hyperlink" Target="http://www.nevo.co.il/case/28697227" TargetMode="External"/><Relationship Id="rId21" Type="http://schemas.openxmlformats.org/officeDocument/2006/relationships/hyperlink" Target="http://www.nevo.co.il/case/27734980" TargetMode="External"/><Relationship Id="rId22" Type="http://schemas.openxmlformats.org/officeDocument/2006/relationships/hyperlink" Target="http://www.nevo.co.il/case/30019073" TargetMode="External"/><Relationship Id="rId23" Type="http://schemas.openxmlformats.org/officeDocument/2006/relationships/hyperlink" Target="http://www.nevo.co.il/case/29867910" TargetMode="External"/><Relationship Id="rId24" Type="http://schemas.openxmlformats.org/officeDocument/2006/relationships/hyperlink" Target="http://www.nevo.co.il/case/27309272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case/27494821" TargetMode="External"/><Relationship Id="rId27" Type="http://schemas.openxmlformats.org/officeDocument/2006/relationships/hyperlink" Target="http://www.nevo.co.il/case/27115374" TargetMode="External"/><Relationship Id="rId28" Type="http://schemas.openxmlformats.org/officeDocument/2006/relationships/hyperlink" Target="http://www.nevo.co.il/case/22006503" TargetMode="External"/><Relationship Id="rId29" Type="http://schemas.openxmlformats.org/officeDocument/2006/relationships/hyperlink" Target="http://www.nevo.co.il/case/27693610" TargetMode="External"/><Relationship Id="rId30" Type="http://schemas.openxmlformats.org/officeDocument/2006/relationships/hyperlink" Target="http://www.nevo.co.il/case/26986954" TargetMode="External"/><Relationship Id="rId31" Type="http://schemas.openxmlformats.org/officeDocument/2006/relationships/hyperlink" Target="http://www.nevo.co.il/case/27309272" TargetMode="External"/><Relationship Id="rId32" Type="http://schemas.openxmlformats.org/officeDocument/2006/relationships/hyperlink" Target="http://www.nevo.co.il/case/2561298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883087" TargetMode="External"/><Relationship Id="rId37" Type="http://schemas.openxmlformats.org/officeDocument/2006/relationships/hyperlink" Target="http://www.nevo.co.il/case/29867910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case/27915710" TargetMode="External"/><Relationship Id="rId40" Type="http://schemas.openxmlformats.org/officeDocument/2006/relationships/hyperlink" Target="http://www.nevo.co.il/case/27436592" TargetMode="External"/><Relationship Id="rId41" Type="http://schemas.openxmlformats.org/officeDocument/2006/relationships/hyperlink" Target="http://www.nevo.co.il/case/28916087" TargetMode="External"/><Relationship Id="rId42" Type="http://schemas.openxmlformats.org/officeDocument/2006/relationships/hyperlink" Target="http://www.nevo.co.il/case/26931111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2024-04-21T11:41:00Z</dcterms:created>
  <dc:creator> </dc:creator>
  <dc:description/>
  <cp:keywords/>
  <dc:language>en-IL</dc:language>
  <cp:lastModifiedBy>h1</cp:lastModifiedBy>
  <dcterms:modified xsi:type="dcterms:W3CDTF">2024-04-21T11:41:00Z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רמדאן כרים בוקאעי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NOTES2">
    <vt:lpwstr>ProcID=133;209&amp;PartA=3619&amp;PartC=19</vt:lpwstr>
  </property>
  <property fmtid="{D5CDD505-2E9C-101B-9397-08002B2CF9AE}" pid="10" name="CASESLISTTMP1">
    <vt:lpwstr>29486731;25824863;28452933;28660017;29564821;28207045;28697227;27734980;30019073;29867910:2;27309272:2;28883087:2;27494821;27115374;22006503;27693610;26986954;25612982;28243273;27915710;27436592;28916087;26931111</vt:lpwstr>
  </property>
  <property fmtid="{D5CDD505-2E9C-101B-9397-08002B2CF9AE}" pid="11" name="CITY">
    <vt:lpwstr>חי'</vt:lpwstr>
  </property>
  <property fmtid="{D5CDD505-2E9C-101B-9397-08002B2CF9AE}" pid="12" name="DATE">
    <vt:lpwstr>20240417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אמיר טובי</vt:lpwstr>
  </property>
  <property fmtid="{D5CDD505-2E9C-101B-9397-08002B2CF9AE}" pid="16" name="LAWLISTTMP1">
    <vt:lpwstr>70301/144.b;340a.a;275;040i;144</vt:lpwstr>
  </property>
  <property fmtid="{D5CDD505-2E9C-101B-9397-08002B2CF9AE}" pid="17" name="LAWYER">
    <vt:lpwstr>יניב זוהר;ארז אבוהב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7089</vt:lpwstr>
  </property>
  <property fmtid="{D5CDD505-2E9C-101B-9397-08002B2CF9AE}" pid="24" name="NEWPARTB">
    <vt:lpwstr>08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390020240417</vt:lpwstr>
  </property>
  <property fmtid="{D5CDD505-2E9C-101B-9397-08002B2CF9AE}" pid="36" name="TYPE_N_DATE">
    <vt:lpwstr>39020240417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