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7109-02-21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שאולוב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2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93"/>
        <w:gridCol w:w="1403"/>
        <w:gridCol w:w="5928"/>
      </w:tblGrid>
      <w:tr>
        <w:trPr>
          <w:trHeight w:val="295" w:hRule="atLeast"/>
        </w:trPr>
        <w:tc>
          <w:tcPr>
            <w:tcW w:w="89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33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יואב עטר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1403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92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מורן גז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33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140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יורי שאולוב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בעצמו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ליל פטישי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משה סרוגוביץ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140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92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צו הפיקוח על מצרכים ושירותים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איסור ייצור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יבוא ומכירה של צעצועים מסוכנים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הפיקוח על מצרכים ושירותים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צו בדבר הוראות ביטחון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יהודה והשומרון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1651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2009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22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24"/>
      </w:tblGrid>
      <w:tr>
        <w:trPr>
          <w:trHeight w:val="355" w:hRule="atLeast"/>
        </w:trPr>
        <w:tc>
          <w:tcPr>
            <w:tcW w:w="8224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>הנאשם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הודאתו בכתב אישום מתוקן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בשנית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בביצוע עבירות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סיוע לניסיון ייצור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ריבוי עבירות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בצירוף עבירות לפי </w:t>
      </w:r>
      <w:hyperlink r:id="rId1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25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14">
        <w:r>
          <w:rPr>
            <w:rStyle w:val="Hyperlink"/>
            <w:rFonts w:cs="David" w:ascii="David" w:hAnsi="David"/>
            <w:sz w:val="24"/>
            <w:szCs w:val="24"/>
          </w:rPr>
          <w:t>31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ומכירת צעצועים מסוכנים ללא היתר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ריבוי עבירות לפי סעיף </w:t>
      </w:r>
      <w:hyperlink r:id="rId15">
        <w:r>
          <w:rPr>
            <w:rStyle w:val="Hyperlink"/>
            <w:rFonts w:cs="David" w:ascii="David" w:hAnsi="David"/>
            <w:sz w:val="24"/>
            <w:szCs w:val="24"/>
          </w:rPr>
          <w:t>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צו הפיקוח על מצרכים ושירותים 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איסור ייצור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ייבוא ומכירה של צעצועים מסוכנים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1986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בצירוף </w:t>
      </w:r>
      <w:hyperlink r:id="rId1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הפיקוח על מצרכים ושירותים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תשי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1957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כתב האישום המתוקן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בשנית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אוחז שני אישומים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המפורט בחלק הכללי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היה בזמנים הרלוונטיים בעלים של חנות לממכר 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חלקי 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וציוד עזר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רובי ה</w:t>
      </w:r>
      <w:r>
        <w:rPr>
          <w:rFonts w:cs="David" w:ascii="David" w:hAnsi="David"/>
          <w:sz w:val="24"/>
          <w:szCs w:val="24"/>
          <w:rtl w:val="true"/>
        </w:rPr>
        <w:t>-"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משמשים למשחק בישראל והם מדמים כלי נשק אמיתיים היורים כדורי פלסטיק או קרמיקה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וניתנים לרכישה ולהחזקה בכפוף לחברות במועדון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ראשון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במועד שאינו ידוע במדויק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סמוך לסוף חודש אפריל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 אדם בשם אבו חיה שהינו תושב שטחי הרש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לרכוש רובי איירסופט בישראל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לייצאם לגדה המערבית ולמכרם ברווח הואיל וניתנים להסבה בשטחי איו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לכלי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כהגדרתם ב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וחיפש אחר סוחר ישראלי לצורך 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אבו חיה פנה לנאשם שימכור לו רובי איירסופט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הסכים תוך שחשד כי רכישת הרובים למטרת הסבתם לכלי נשק כהגדרתם בחוק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אבו חיה צירף את חסן אלעוברה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אזרח ישראלי תושב רהט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המכיר את הנאשם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כמתווך ומסייע במגעים בין הנאשם לאבו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להעברת כספים ורובים בין הנאשם לאבו חיה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10.5.19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סמוך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פנו אבו חיה וחסן לנאשם באמצעות יישומן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ווטסאפ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וסיכמו על העברת </w:t>
      </w:r>
      <w:r>
        <w:rPr>
          <w:rFonts w:cs="David" w:ascii="David" w:hAnsi="David"/>
          <w:sz w:val="24"/>
          <w:szCs w:val="24"/>
        </w:rPr>
        <w:t>5-6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רובי איירסופט שעליהם הוטבע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נשר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מהנאשם לאבו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30,000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בהנחיית אבו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נסע חסן למעבר מיתר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קיבל מאבו חיה </w:t>
      </w:r>
      <w:r>
        <w:rPr>
          <w:rFonts w:cs="David" w:ascii="David" w:hAnsi="David"/>
          <w:sz w:val="24"/>
          <w:szCs w:val="24"/>
        </w:rPr>
        <w:t>29,000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במזומן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מסר לנאשם בשדרות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ומאוחר יותר העביר הנאשם לחסן חבילת 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תוספות וחלקי הרכבה לרובים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כגון משקפות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ידיות ופנסים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אותם העביר חסן לאבו חיה במעבר מיתר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16.5.23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סמוך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באותו אופן כמפורט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סיכמו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אבו חיה וחסן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השלושה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העברה נוספת של רובי איירוספט וציוד נלווה תמורת </w:t>
      </w:r>
      <w:r>
        <w:rPr>
          <w:rFonts w:cs="David" w:ascii="David" w:hAnsi="David"/>
          <w:sz w:val="24"/>
          <w:szCs w:val="24"/>
        </w:rPr>
        <w:t>25,600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אופן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העביר חסן לנאשם את הכסף ולאבו חיה </w:t>
      </w:r>
      <w:r>
        <w:rPr>
          <w:rFonts w:cs="David" w:ascii="David" w:hAnsi="David"/>
          <w:sz w:val="24"/>
          <w:szCs w:val="24"/>
        </w:rPr>
        <w:t>4-5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רובי איירסופט וציוד נלווה במעבר מיתר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22.5.19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שוב סיכמו השלושה באופן דומה על עסקה נוספת של ארבעה רובי איירסופט ורובה נוסף לחסן 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22,500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חסן העביר לנאשם את הכסף שנמסר לו מאבו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והעביר לשליח מטעם אבו חיה את הרובים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2.6.19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סיכמו השלושה על עסקה נוספת של ארבעה רובי איירסופט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נשר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17,000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>שהועבר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העביר את הרובים לאבו חיה באופן שאינו ידוע למאשימה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סמוך לאחר המתואר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ביקש אבו חיה מהנאשם עשרה רובי איירסופט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נשר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באיכות גבוהה בתמורה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עבור כל רובה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ומשהנאשם לא החזיק כמות כזו במלאי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הציע הנאשם לאבו חיה רובי איירסופט מסוג אחר במחיר של </w:t>
      </w:r>
      <w:r>
        <w:rPr>
          <w:rFonts w:cs="David" w:ascii="David" w:hAnsi="David"/>
          <w:sz w:val="24"/>
          <w:szCs w:val="24"/>
        </w:rPr>
        <w:t>4,000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לכל רובה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אבו חיה דחה את ההצעה והתעקש על הרובים מהסוג שצוין לעיל כדי שניתן יהיה להסבם לאחר העברתם לשטחי איו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לכלי נשק והעסקה לא יצאה לפועל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מספר ימים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אבו חיה נעצר והיה במשמורת 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 עד ליום </w:t>
      </w:r>
      <w:r>
        <w:rPr>
          <w:rFonts w:cs="David" w:ascii="David" w:hAnsi="David"/>
          <w:sz w:val="24"/>
          <w:szCs w:val="24"/>
        </w:rPr>
        <w:t>9.6.20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אישום שני</w:t>
      </w:r>
    </w:p>
    <w:p>
      <w:pPr>
        <w:pStyle w:val="ListParagraph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הנטען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שאבו חיה שוחרר משב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בחודש יוני </w:t>
      </w:r>
      <w:r>
        <w:rPr>
          <w:rFonts w:cs="David" w:ascii="David" w:hAnsi="David"/>
          <w:sz w:val="24"/>
          <w:szCs w:val="24"/>
        </w:rPr>
        <w:t>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פנה שוב לנאשם והציע לו לבצע עסקאות נוספות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הנאשם אמר כי חושש שיתפס מאחר שהוזהר לא לבצע עסקאות ברובי האירסופט הניתנים להסבה בשל הסיכון הפוטנציאלי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באותו החודש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אבו חיה ביקש מפארס אבו אלקיאן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אזרח ישראלי תושב חורה ואידנא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שידבר עם הנאשם בשמו וישכנעו להסכים לבצע עסקאות מול פארס ולא ישירות מול אבו חיה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פארס נענה להצעתו של אבו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התקשר לנאשם פעמים 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וניסה לשכנעו לעשות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הנאשם סרב למכור רובים מהסוג שביקש אבו חיה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הציע הנאשם לאבו חיה לרכוש ממנו רובי אירסופט אחרים באיכות נמוכה יותר ובהמשך הציע לרכוש ממנו חלקי רובים שבהם חשד הנאשם כי ניתן לעשות שימוש להרכבה על כלי נשק מסוג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לבסוף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לפני חודש ספטמבר </w:t>
      </w:r>
      <w:r>
        <w:rPr>
          <w:rFonts w:cs="David" w:ascii="David" w:hAnsi="David"/>
          <w:sz w:val="24"/>
          <w:szCs w:val="24"/>
        </w:rPr>
        <w:t>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ואבו חיה סיכמו על מכירת חלקים רבים לרובים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ביניהם קתות</w:t>
      </w:r>
      <w:r>
        <w:rPr>
          <w:rFonts w:cs="David" w:ascii="David" w:hAnsi="David"/>
          <w:sz w:val="24"/>
          <w:szCs w:val="24"/>
          <w:rtl w:val="true"/>
        </w:rPr>
        <w:t>, "</w:t>
      </w:r>
      <w:r>
        <w:rPr>
          <w:rFonts w:ascii="David" w:hAnsi="David" w:cs="David"/>
          <w:sz w:val="24"/>
          <w:sz w:val="24"/>
          <w:szCs w:val="24"/>
          <w:rtl w:val="true"/>
        </w:rPr>
        <w:t>חלזונות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מתפסים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וידיות בשווי של </w:t>
      </w:r>
      <w:r>
        <w:rPr>
          <w:rFonts w:cs="David" w:ascii="David" w:hAnsi="David"/>
          <w:sz w:val="24"/>
          <w:szCs w:val="24"/>
        </w:rPr>
        <w:t>4-5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אלף 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אבו חיה העביר לפארס את הכסף ושילם לפארס סכום נוסף עבור הובלת הכסף והחלקים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ופארס הגיע לנאשם בשדרות והנאשם מסר לו ארגז שהכיל את חלקי הרובים 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אותו העביר פארס לאבו חיה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אבו חיה מכר את אותם חלקים שקיבל לאמג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ד קריע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תושב הגדה המערבית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תמורת </w:t>
      </w:r>
      <w:r>
        <w:rPr>
          <w:rFonts w:cs="David" w:ascii="David" w:hAnsi="David"/>
          <w:sz w:val="24"/>
          <w:szCs w:val="24"/>
        </w:rPr>
        <w:t>2,700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אמג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ד הסתייע בחלקים שרכש מאבו חיה להרכבה על שני כלי נשק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אותם מכר לאדם שזהותו אינה ידועה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תמורה </w:t>
      </w:r>
      <w:r>
        <w:rPr>
          <w:rFonts w:cs="David" w:ascii="David" w:hAnsi="David"/>
          <w:sz w:val="24"/>
          <w:szCs w:val="24"/>
        </w:rPr>
        <w:t>24,000</w:t>
      </w:r>
      <w:r>
        <w:rPr>
          <w:rFonts w:cs="David" w:ascii="David" w:hAnsi="David"/>
          <w:sz w:val="24"/>
          <w:szCs w:val="24"/>
          <w:rtl w:val="true"/>
        </w:rPr>
        <w:t xml:space="preserve"> ₪.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זמן מה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שוב פנה אבו חיה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באותו אופן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בעזרת פארס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והם סיכמו על רכישת רוב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שאינם ניתנים להסבה במחיר כולל של </w:t>
      </w:r>
      <w:r>
        <w:rPr>
          <w:rFonts w:cs="David" w:ascii="David" w:hAnsi="David"/>
          <w:sz w:val="24"/>
          <w:szCs w:val="24"/>
        </w:rPr>
        <w:t>32,000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>ובאותו אופן העביר פארס כסף ורובים בין הנאשם לאבו חיה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הסדר הטיעון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13.12.22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הודיעו הצדדים כי הגיעו להסדר טיעון לפיו הנאשם יחזור בו מכפירתו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כתב האישום יתוקן בשנית והנאשם יודה ויורשע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לעונש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הסכימו הצדדים כי המאשימה תגביל עצמה לעתירה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בניכוי ימי המעצר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וההגנה תטען באופן פתוח לעניין רכיב המאסר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הסכימו הצדדים כי יעתרו במשותף להשתת קנס מוסכם בסך </w:t>
      </w:r>
      <w:r>
        <w:rPr>
          <w:rFonts w:cs="David" w:ascii="David" w:hAnsi="David"/>
          <w:sz w:val="24"/>
          <w:szCs w:val="24"/>
        </w:rPr>
        <w:t>30,000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ומאסרים על תנאי לפי שיקול דעת בית משפט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הצדדים הגיעו להסכמות נוספות הנוגעות לחילוט רכוש והפחתת גובה הקנס המוסכם לסך של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ככל שהנאשם ימסור את הרכב מושא בקשת החילוט לחזקת המאשימה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הוסכם כי הטיעונים לעונש יידחו עד לאחר קבלת תסקיר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להשלמת התמונה יצוין כי אבו חיה הועמד לדין בבית משפט צבאי ביחס לחלקו ונדון ביום </w:t>
      </w:r>
      <w:r>
        <w:rPr>
          <w:rFonts w:cs="David" w:ascii="David" w:hAnsi="David"/>
          <w:sz w:val="24"/>
          <w:szCs w:val="24"/>
        </w:rPr>
        <w:t>14.6.22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בבית משפט צבאי יהודה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תיק </w:t>
      </w:r>
      <w:r>
        <w:rPr>
          <w:rFonts w:cs="David" w:ascii="David" w:hAnsi="David"/>
          <w:sz w:val="24"/>
          <w:szCs w:val="24"/>
        </w:rPr>
        <w:t>2140/21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מאסרים על תנאי וקנס בסך </w:t>
      </w:r>
      <w:r>
        <w:rPr>
          <w:rFonts w:cs="David" w:ascii="David" w:hAnsi="David"/>
          <w:sz w:val="24"/>
          <w:szCs w:val="24"/>
        </w:rPr>
        <w:t>15,000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חסן אלעוברה אשר שימש כמתווך בחלק מההתרחשויות מושא האישום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7267-02-21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וקנס בסך </w:t>
      </w:r>
      <w:r>
        <w:rPr>
          <w:rFonts w:cs="David" w:ascii="David" w:hAnsi="David"/>
          <w:sz w:val="24"/>
          <w:szCs w:val="24"/>
        </w:rPr>
        <w:t>25,000</w:t>
      </w:r>
      <w:r>
        <w:rPr>
          <w:rFonts w:cs="David" w:ascii="David" w:hAnsi="David"/>
          <w:sz w:val="24"/>
          <w:szCs w:val="24"/>
          <w:rtl w:val="true"/>
        </w:rPr>
        <w:t xml:space="preserve"> ₪.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פארס אשר שימש כמתווך בחלק מההתרחשויות  מושא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7267-02-21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 בעבירות של מתן אמצעים לביצוע 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וריבוי עבירות של הפרת צו פיקוח על מצרכים ושירותים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איסור ייצוא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ייבוא ומכירה של צעצועים מסוכנים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 ונדון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וקנס בסך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אמג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נדון בתיק </w:t>
      </w:r>
      <w:r>
        <w:rPr>
          <w:rFonts w:cs="David" w:ascii="David" w:hAnsi="David"/>
          <w:sz w:val="24"/>
          <w:szCs w:val="24"/>
        </w:rPr>
        <w:t>2028/21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 בית המשפט הצבאי ביהודה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הרכבת שני רובי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מאולתרים באמצעות החלקים שרכש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וקנס בסך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מהתסקיר שהוגש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עולה כי הנאשם כבן </w:t>
      </w:r>
      <w:r>
        <w:rPr>
          <w:rFonts w:cs="David" w:ascii="David" w:hAnsi="David"/>
          <w:sz w:val="24"/>
          <w:szCs w:val="24"/>
        </w:rPr>
        <w:t>49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יליד רוסיה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לשלושה ומתגורר עם משפחתו בשדרות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סיים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לימוד ברוסיה ועלה בגיל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בסמוך לאחר  עלייתו ארצה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השתלב הנאשם במפעל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שטראוס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כמפעיל מכונות בכיר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ועבד בו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עד למעצרו בתיק הנוכחי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בתסקיר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החל לעסוק במשחקי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לפני כעשור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ולפני מספר שנים הקים את החנות שבבעלותו לרובי וציוד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בה עבד כשלא שהה במקום עבודתו במפעל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ציין בפני שירות המבחן כי החנות נסגרה לאחר מעצרו בתיק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לפני כשנה החל לעבוד בחנות פארם בשדרות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ציין הנאשם השתלב בטיפול רגשי במרכז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חוסן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במשך שנה ונרשם שיפור במצבו הרגשי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צו הפיקוח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שולב הנאשם בקבוצה לעצורי 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התמיד והגיע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התקשה לשתף באופן כנה ואותנטי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הכחיש את המיוחס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ביטא עמדות קרבניות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נוקשות חשיבתית והתקשה להתחבר לכשלים בהתנהלותו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כי הנאשם לא נתרם מהשתלבותו בקבוצה ולא חלה התקדמות בעניינו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ביקש הנאשם להשתלב בטיפול קבוצתי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לדברי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התקשה להתייחס למטרות הטיפול עבורו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לקשיים ולדפוסים בהתנהלותו שבהם מעוניין לערוך שינוי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מסר לשירות המבחן כי במהלך השנים חווה קשיים כלכליים אם כי בשנים האחרונות המצב הכלכלי התייצב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כך ציין הנאשם כי ביצע את העבירות בשל הפיתוי שבהשגת רווחים בדרך מהירה וקלה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בפני שירות המבחן בביצוע העבירות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בשל הפיתוי בהשגת כסף  בקלות ובמהירות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ביצע עם אותו אדם מספר עסקאות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שחשד כי הרובים עלולים להגיע לידיים אחרות ברש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 ותוך שידע כי ניתן להסב את הרובים לכלי נשק אמיתיים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לדבריו לא האמין כי יעשו זאת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ביחס לאישום השני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ציין כי פנה אליו אדם אחר מהמגזר הערבי וביקש לבצע עסקאות דומות בסכומים דומים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ציין כי הנאשם ניתק קשר עם אותם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לקוחות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עם קבלת התמורה הכספית ושלל קשר עם גורמים שוליים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הביע חרטה ובושה על מעשיו וכי כיום מבין את השלכותיהם ואת הנזק שבהם וביטא תפיסות המתנגדות לפגיעה בביטחון המדינה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מנגד ציין שירות המבחן כי הנאשם משליך את נסיבות ביצוע העבירות  על גורמים חיצוניים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שאינו מחובר לדפוסיו הפנימיים העומדים בבסיס ביצוען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סיכויי השיקום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 שירות המבחן על גילו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היעדר העבר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יכולותיו להסתגל למסגרות ולשמור על יציבות תעסוקתית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השפעת חווית המעצר המטלטלת ושאיפותיו לנהל 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בבחינת גורמי הסיכון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התרשם שירות המבחן כי הנאשם נוטה להבליט את חלקיו החיוביים ומנגד מטשטש את חלקיו השליליים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עלול לנהוג באימפולסיביות ולנסות להרוויח כסף קל ומהיר מבלי לשקול את ההשלכות והנזק לאחרים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התרשם שירות המבחן כי הנאשם ממוקד בגורמים חיצוניים וכי על אף ששולב בהליך טיפולי ארוך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עודנו מתקשה לערוך התבוננות פנימית ביחס לדפוסים שעמדו בבסיס ביצוע העבירות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בסופו של יום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נמנע מהמלצה שיקומית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על אף האמור המליץ על ע 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 והראיות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מטעם ההגנה העידו שלושה עדים לעונש והוגשו שני מוצגים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רונן שאולוב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בנו החייל של הנאשם אשר העיד על הקשיים שחוותה אמו ועל המצוקה הכלכלית בבית בזמן שהותו של הנאשם במעצר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אירה שאולוב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אשתו של הנאשם שסיפרה גם היא על הקשיים הנפשיים שלה ושל ילדיה בעקבות מעצרו של הנאשם ועל הקשיים הכלכליים שנלוו להם לרבות סגירת מכון היופי שבבעלותה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כמות הלקוחות שפחתה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התמודדות עם שמועות ושאלות בעקבות המעצר המתוקשר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והביעה חשש לעתיד המשפחה בפן הכלכלי והרגשי ביחס לאפשרות שיוטל עליו עונש מאסר ממושך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 רותם שטרנברג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 שטיפלה בנאשם במסגרת מרכז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חוסן</w:t>
      </w:r>
      <w:r>
        <w:rPr>
          <w:rFonts w:cs="David" w:ascii="David" w:hAnsi="David"/>
          <w:sz w:val="24"/>
          <w:szCs w:val="24"/>
          <w:rtl w:val="true"/>
        </w:rPr>
        <w:t xml:space="preserve">"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וערכה חוות דעת בעניינו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 העידה כי טיפלה בנאשם בעקבות פנייתו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לאורך שנת הטיפול התרשמה מאמינותו ומכנות החרטה וההכרה שעשה טעות בעקבות תהליכים שעבר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רק בשל המחיר שמשלם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 לא ידעה להסביר את הפער בין התרשמותה להשפעתו החיובית של הטיפול על הנאשם לעומת אי אפקטיביות הטיפול שנעשה בשירות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בחקירתה החוזרת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הניחה שאופי הטיפול שלה כפרטני לעומת הטיפול בשירות המבחן שהוא קבוצתי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השפיע על שיתוף הפעולה של הנאשם והירתמותו לטיפול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העדה גם התקשתה להתמודד עם השאלות שנשאלה ביחס לפער שבין העולה מהמסמך 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לפיו הטיפול נסב סביב חרדות קשות שנבעו מהמצב הבטחוני תוך שצויין כי הנאשם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חווה כנער את נפילות הטילים בעיר עוד בטרם היות הממ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דים ובודאי כיפת ברזל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העובדה שהנאשם עלה לארץ בגיל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לא יכול היה לחוות כנער את הנטען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ההגנה הגישה גם מכתב המלצה ממעסיקתו של הנאשם בפארם בשדרות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בו פירטה אודות מידותיו הטובות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תכונותיו ויחסי האנוש הטובים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תחומי אחריותו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המוטיבציה בעבודה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קידומו המקצועי למנהל מחסן והתרשמותה החיובית מתפקודו באופן אישי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הראיות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הגישה חמישה מוצגים בדמות הצעת חוק כלי הירייה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התשפ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וגזרי דין בעניינם של המעורבים הנוספים 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בעניינו של אבו חיה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בעניינו של חסן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)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בעניינו של פארס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של אמג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בטיעוניה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עמדה על הערכים המוגנים שנפגעו כתוצאה ממעשיו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מידת הפגיעה בהם ועל הצורך בהחמרה בענישה בעבירות הנשק על גווניהן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לתיקון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ולדברי ההסבר להצעת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שאינו חל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הפנה להצעת חוק כלי הירייה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)  </w:t>
      </w:r>
      <w:r>
        <w:rPr>
          <w:rFonts w:ascii="David" w:hAnsi="David" w:cs="David"/>
          <w:sz w:val="24"/>
          <w:sz w:val="24"/>
          <w:szCs w:val="24"/>
          <w:rtl w:val="true"/>
        </w:rPr>
        <w:t>התשפ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הצביעה על ריבוי העסקאות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המניע הכספי שברקע לביצוען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התעלמותו של הנאשם מאזהרת השב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והמשך ביצוע עבירות זהות באישום השני לאחר שהוזהר על ידי השב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על כך שהנאשם חשד בדבר הסבת הרובים מושא האישום הראשון לכלי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חלקי הרובים מושא האישום השני עשויים לשמש להרכבה על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עמדה על שיקולי הענישה בעניינם של המעורבים האחרים והאבחנות אל מול עניינם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המאשימה עתרה למתחם עונש הולם הנע 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מאסרים על תנאי וקנס כספי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המאשימה לפער בין תוכן התסקיר להמלצת שירות המבחן ולהיעדר הצדקה לחריגה ממתחם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לשיטתה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נטילת האחריות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היעדר עברו הפלילי והפגיעה במשפחתו מגולמים בהסדר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עתרה המאשימה למקם את עונשו של הנאשם בתחתית המתחם ולגזור עליו עונש של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מאסרים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 (</w:t>
      </w:r>
      <w:r>
        <w:rPr>
          <w:rFonts w:ascii="David" w:hAnsi="David" w:cs="David"/>
          <w:sz w:val="24"/>
          <w:sz w:val="24"/>
          <w:szCs w:val="24"/>
          <w:rtl w:val="true"/>
        </w:rPr>
        <w:t>לאור העברת הרכב לידי המדינה וחילוטו המוסכם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ומאסר חלף 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בטיעוניו לעונש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העלה טענות ביחס לחלקו של הנאשם ולמידת האשם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משהמחשבה הפלילית של הנאשם הייתה בגדר עצימת עיניים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כפחותה משל אבו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שלא לתת משקל לטענות המאשימה הנוגעות לאפשרות שרובי האיירסופט יגיע לידיים חבלניות או פליליות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מקום בו אלו לא יוחסו בכתב האישום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אליבא דב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התעלם מאזהרת השב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לפיה נאסר עליו למכור רובי איירסופט הניתנים להסבה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מכר רובי איירסופט שאינם ניתנים להסבה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למכירת חלקי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כאן ביקש לתת את הדעת למחשבה הפלילית מסוג עצימת עיניים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העלה גם טענות הנוגעות לקונסטלציה העובדתית הייחודית שבענייננו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טען כי יש לתת את הדעת לכך שמדובר בעבירה פלילית המוחלת על מערכת עובדתית חדשה באופן תקדימי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שאף לא קיימת פסיקה קונקרטית בנושא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למעט הפסיקה בעניינם של המעורבים האחרים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סבר כי חלקו של הנאשם ביחס למעורבים האחרים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קרוב יותר לחלקו של חסן ועל כן התיקון לחוק לא חל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גם ההחמרה בענישה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ועתר לקביעת מתחם שתחתיתו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טען כי גם אם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יקבע רף תחתון גבוה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עדיין ניתן לגזור על הנאשם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לאחר ניכוי </w:t>
      </w:r>
      <w:r>
        <w:rPr>
          <w:rFonts w:cs="David" w:ascii="David" w:hAnsi="David"/>
          <w:sz w:val="24"/>
          <w:szCs w:val="24"/>
        </w:rPr>
        <w:t>5.5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המעצר שריצה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תיוותר יתרה שלא תחייב לשלוח הנאשם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ולחלופין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ככל שיקבע מתחם גבוה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לשיטתו יש טעם לחרוג מהמתחם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ביחס לנסיבות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על היעדר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אורח החיים הנורמטיבי שניהל טרם הסתבכותו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הרציפות התעסוקתית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משך הזמן ששהה במעצר והשלכות המעצר על הנאשם בפן האישי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התעסוקתי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הנפשי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המשפחתי והכלכלי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בני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עמד על העולה מהתסקיר ועתר לאמץ את המלצת שירות המבחן  על דרך של השתת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מבלי לנכות את </w:t>
      </w:r>
      <w:r>
        <w:rPr>
          <w:rFonts w:cs="David" w:ascii="David" w:hAnsi="David"/>
          <w:sz w:val="24"/>
          <w:szCs w:val="24"/>
        </w:rPr>
        <w:t>5.5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החודשים בהם ישב במעצר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האינטרס הציבורי והאישי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מקום בו מדובר באדם נורמטיבי שעבר תהליך אישי משמעותי במשך שנתיים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ענישה בקהילה ולא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ביחס לקנס הכספי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עתר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לקנס הכספי המוסכם בסך של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וביקש להתחשב בנזק הכלכלי הכללי שיוסב לנאשם לאור הרכוש שנתפס ויחולט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הכסף המזומן שנתפס בחנות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הפיקדון שהופקד לטובת שחרור הרכב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העומד על סך של </w:t>
      </w:r>
      <w:r>
        <w:rPr>
          <w:rFonts w:cs="David" w:ascii="David" w:hAnsi="David"/>
          <w:sz w:val="24"/>
          <w:szCs w:val="24"/>
        </w:rPr>
        <w:t>185,000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בסה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לעונש התנצל על מעשיו והביע בושה וחרטה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 תקופה קשה בזמן שהותו במעצר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הצהיר שפתח דף חדש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שלא להחזירו אל בין כתלי בית הסוהר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העבירות בהן הורשע הנאשם הן עבירות חמורות ובפרט בשים לב לפוטנציאל הסיכון לביטחון הציבור כפועל יוצא מהן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באישום הראשון המדובר בכמות גדולה מאוד של 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הניתנים להסבה לנשק בעל יכולת להמית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הועברו בפועל לשטחי הגדה המערבית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הפוטנציאל הממשי הגלום בכך שיוכלו גם לשמש לפעילות טרור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החלקים שמכר הנאשם הורכבו בפועל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 שהועברו לשטחי הגדה המערבית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שני כלי נשק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באופן שיש בו בכדי להדגים את הפוטנציאל הגלום במעשים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זאת אף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שאת העבירות מושא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עבר הנאשם לאחר שהוזהר אודות הסיכון הפוטנציאלי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כמפורט בסעיף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לאישום השני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אמנם לאחר שהוזהר לא מכר 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ברי הסבה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הציע לאבו חיה לרכוש רובים שאינם ברי הסבה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ואולם הגם שדווקא הימנעות אבו חיה מלרכוש את רובי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שאינם ברי הסבה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שהוצעו באישום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אמורה הייתה לחדד בפני הנאשם החשד בדבר הייעוד הסופי של הכלים 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בחר הנאשם למכור חלקים הניתנים להרכבה על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עשה כן על אף שחשד כי ניתן לעשות בהם שימוש להרכבה על רובי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וכאמור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אלו הורכבו על לפחות שני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240" w:after="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בדבר הסיכון והחומרה הגלומה בביצוע עבירות הנוגעות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 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25.8.2020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צויין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240" w:after="0"/>
        <w:ind w:start="360" w:end="0"/>
        <w:jc w:val="both"/>
        <w:rPr/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ציין בית המשפט העליון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הזמינות הבלתי נסבלת של נשק בידי מי שאינו מורשה לכך 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כאשר אזרחים תמימים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 xml:space="preserve">נפגעים ואף מוצאים את מותם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 xml:space="preserve">ענייננו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מצריך מענה הולם והטלת עונשי מאסר משמעותיים</w:t>
      </w:r>
      <w:r>
        <w:rPr>
          <w:rFonts w:cs="David" w:ascii="David" w:hAnsi="David"/>
          <w:b/>
          <w:bCs/>
          <w:rtl w:val="true"/>
        </w:rPr>
        <w:t>..."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240" w:after="0"/>
        <w:ind w:start="36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3"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מדינת ישראל נגד עיסא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הדגיש בית המשפט העליון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שב ועמד פעם אחר פעם על חומרתן של 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הפכו זה מכבר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בשל הסכנה הכרוכה בעבירות אלו לשלום הציבור אשר עלולות להביא לפגיעות בגוף או בנפש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לצערנו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מדובר בחשש בעלמא כי אם במעשים שבכל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עת שנעשה שימוש באותם נשקים הנמכרים שלא כדין ומוחזקים שלא כדין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 xml:space="preserve">לא פעם הדגשתי כי יש לנקוט במדיניות ענישה ממשית ומשמעותית אשר המסר העונשי הנגזר ממנה הוא כי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שומר נפשו ושלומו – ירחק מעבירות הנשק באשר 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קלות כחמורות</w:t>
      </w:r>
      <w:r>
        <w:rPr>
          <w:rFonts w:cs="David" w:ascii="David" w:hAnsi="David"/>
          <w:b/>
          <w:bCs/>
          <w:rtl w:val="true"/>
        </w:rPr>
        <w:t xml:space="preserve">' [...] </w:t>
      </w:r>
      <w:r>
        <w:rPr>
          <w:rFonts w:ascii="David" w:hAnsi="David"/>
          <w:b/>
          <w:b/>
          <w:bCs/>
          <w:rtl w:val="true"/>
        </w:rPr>
        <w:t>בתוך 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מדיניות הענישה לבכר שיקולים של הרתעת היחיד והרבים ושל הרחקת עברייני הנשק מהחברה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ידי השמתם מאחורי סורג ובריח לתקופה ממושכת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 w:before="240" w:after="0"/>
        <w:ind w:start="36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6383/21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קריף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13.2.23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צויין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לעיתים נכון להחמיר בענישה בגין סוגים מסוימים של עבירות בשל אופיין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עד כי יש לסווגן כ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עבירות הנשק דורשות החמרה בשל שני הנימוקים גם יחד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ממד החומרה שבהן נעוץ בזיקתן לכלי בעל כוח קטלני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ובראי התקופה – הפגיעה באינטרס הציבורי ובביטחון הפרט דורשת ענישה מחמירה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מעבר לזו שהייתה נקוטה בעבר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בפסיקה הובהר שוב ושוב בשנים האחרונות כי הענישה בעבירות נשק צריכה להיות מחמירה</w:t>
      </w:r>
      <w:r>
        <w:rPr>
          <w:rFonts w:cs="David" w:ascii="David" w:hAnsi="David"/>
          <w:b/>
          <w:bCs/>
          <w:color w:val="000000"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color w:val="000000"/>
          <w:spacing w:val="10"/>
          <w:sz w:val="24"/>
          <w:sz w:val="24"/>
          <w:szCs w:val="24"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color w:val="000000"/>
          <w:spacing w:val="10"/>
          <w:sz w:val="24"/>
          <w:szCs w:val="24"/>
          <w:rtl w:val="true"/>
        </w:rPr>
        <w:t xml:space="preserve">".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לנוכח העלייה בתופעת העבירות בנשק בשנים האחרונות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דומה כי מעבר להתגייסות בתי המשפט למאבק בנגע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התגייס גם המחוקק למאבק כנלמד הן מהצעות חוק שהוגשו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והן בתיקוני חקיקה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שעניינו קביעת עונש מזערי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הצעת חוק המאבק בכלי הנשק הבלתי חוקיים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תיקוני חקיקה</w:t>
      </w:r>
      <w:r>
        <w:rPr>
          <w:rFonts w:cs="David" w:ascii="David" w:hAnsi="David"/>
          <w:sz w:val="24"/>
          <w:szCs w:val="24"/>
          <w:rtl w:val="true"/>
        </w:rPr>
        <w:t>)(</w:t>
      </w:r>
      <w:r>
        <w:rPr>
          <w:rFonts w:ascii="David" w:hAnsi="David" w:cs="David"/>
          <w:sz w:val="24"/>
          <w:sz w:val="24"/>
          <w:szCs w:val="24"/>
          <w:rtl w:val="true"/>
        </w:rPr>
        <w:t>הוראת שעה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התשפ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והצעת חוק כלי הירייה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)  </w:t>
      </w:r>
      <w:r>
        <w:rPr>
          <w:rFonts w:ascii="David" w:hAnsi="David" w:cs="David"/>
          <w:sz w:val="24"/>
          <w:sz w:val="24"/>
          <w:szCs w:val="24"/>
          <w:rtl w:val="true"/>
        </w:rPr>
        <w:t>התשפ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שאליה הפנתה גם המאשימה בטיעוניה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אין מחלוקת כי התיקון לחוק העונשין אינו חל בעניינו של הנאשם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למידת הפגיעה בערכים המוגנים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לבחון בין השאר את העובדה שהמדובר ברובי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ובחלקיהם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הנאשם חשד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שעה שמכר אותם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יוסבו לנשק כהגדרתו בחוק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אותם חלקים יורכבו על כלי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יש לקחת בחשבון את העובדה שאלו נמכרו לשטחי איו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החשש המובנה כי ייעשה בהם שימוש כנגד בטחון המדינה ואזרחיה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ההתייחסות לתופעת הנשק המוסב בפרט ועל החומרה הרבה הגלומה 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ללמוד הן מפסיקת בתי המשפט והן מהצעת חוק בעניין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2024-04-21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מנדורי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29.6.21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צוין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העובדה שעניין לנו בנשק מוסב מלמדת על החומרה הרבה הטמונה בתופעה נפוצה זו שיכולה חיש מהר להפוך כלי כלשהו לנשק מסוכן ביותר שבכוחו להמית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ללא כל יכולת להתחקות אחריו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תופעה זו הופכת את האפשרות להשגת נשק והחזקה בו לקלה ונגישה יותר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הוסיף בית המשפט בעניין מנדורי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בשים לב לחומרת התופעה ונפוצותה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וההקלה הקיימת בהשגת נשק מוסב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שומה על בית המשפט כאן להשתמש במחרשה של  ההרתעה </w:t>
      </w:r>
      <w:r>
        <w:rPr>
          <w:rFonts w:cs="David" w:ascii="David" w:hAnsi="David"/>
          <w:b/>
          <w:bCs/>
          <w:sz w:val="24"/>
          <w:szCs w:val="24"/>
          <w:rtl w:val="true"/>
        </w:rPr>
        <w:t>[...]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ולבצע חריש עמוק על מנת לגדוע את שורשי הרע ובמקומם לפזר זרעים של שלווה ובטחון לציבור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בדברי ההסבר להצעת חוק כלי הירייה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תיקון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התשפ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צויין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החל משנת </w:t>
      </w:r>
      <w:r>
        <w:rPr>
          <w:rFonts w:cs="David" w:ascii="David" w:hAnsi="David"/>
          <w:b/>
          <w:bCs/>
          <w:sz w:val="24"/>
          <w:szCs w:val="24"/>
        </w:rPr>
        <w:t>2014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הצביעה משטרת ישראל בחוות דעת מקצועית שערכה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השימוש בכלים הדומים לכלי ירייה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ובכלי 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בעיקר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ככלים שהוסבו לנשק חי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ותופעה זו נמצאת מאז במגמת עלייה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פי נתוני המשטרה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בשנתיים האחרונות נרשמה עלייה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במספר כלי 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שהוסבו לכלי נשק ונתפסו בידי המשטרה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עלייה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בכלי 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היו מעורבים בביצוע פעילות פלילית ונתפסו בידי המשטרה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כלי 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המוסבים שימשו לביצוע כמה פיגועי טרור קטלניים ואירועי רצח על רקע פלילי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גם בשורה של מקרי ירי לעבר בני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בתים ורכבים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שבהם נרצחו שני בני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שניים מאירועי הירי היו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למעשה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פיגועי טרור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נוסף על 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עבריינים שתועדו מבצעים עבירות בנשק חם הדומה לכלי ירייה והוא לא נתפס ברשותם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מנצלים את העובדה שכלים אלה אינם מוגדרים כ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כלי ירייה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כדי לחמוק מאחריות ולטעון שהשתמשו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צעצוע מסוכן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מכירה ומסחר של כלים הדומים לכלי ירייה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ובייחוד של כלי ה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מזינים תעשייה מסוכנת של ייצור כלי נשק מאולתרים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עושים את דרכם לידיהם של גורמי טרור ופשיעה מאורגנת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ומשמשים לפגיעה באזרחים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האמור מהווה סכנה לשלום הציבור וביטחונו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סכנה שאף התממשה במהלך מבצע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שומר החומות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שבו נעשה שימוש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 השאר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בכלים הדומים לכלי ירייה בהפרות סדר נגד כוחות הביטחון ואזרחים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2165/23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נגד פלאח בלאל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( </w:t>
      </w:r>
      <w:r>
        <w:rPr>
          <w:rFonts w:cs="David" w:ascii="David" w:hAnsi="David"/>
          <w:sz w:val="24"/>
          <w:szCs w:val="24"/>
        </w:rPr>
        <w:t>4.5.23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ביחס לאישום שבו יוחסו עבירות התפרצות וגניבה  שעניינן בהתפרצות לחנות לממכר כלי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וגניבת עשרות כלי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ציין בית המשפט העליון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מקובלת עלי טענת המערערת שלפיה ישנה חומרה נוספת בכך שהרכוש שנגנב הוא כלי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וחרוזים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...", </w:t>
      </w:r>
      <w:r>
        <w:rPr>
          <w:rFonts w:ascii="David" w:hAnsi="David" w:cs="David"/>
          <w:sz w:val="24"/>
          <w:sz w:val="24"/>
          <w:szCs w:val="24"/>
          <w:rtl w:val="true"/>
        </w:rPr>
        <w:t>תוך שהתייחס לעצם האפשרות להסבתם לנשק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ביחס לאבחנה בין כלי נשק מוסבים לכלי נשק תקניים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ציין בית המשפט העליון בעניין קריף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>): 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נטען כי במקרים שבהם נפסק עונש דומה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לא דובר באקדח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מוסב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אלא באקדח רגיל או בתת מקלע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אין להפריז במשקל שיש לתת לנתונים כגון סוג האקדח ולקבוע מעין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מדרגה עונשית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שמתמקדת אך ורק בנתון זה ובתוצאה ולא בסיכון שנוצר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העיקר נעוץ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בכוחו של הנשק לפגוע באדם – ואף להמיתו – ולשבש את חיי השגרה של החברה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חלק מרעתן החולה של עבירות הנשק מצוי לאו דווקא בשימוש הישיר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 בנזקים שנלווים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...".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אודות ההחמרה הנדרשת ביחס למעורבים בחוליות השונות הנוגעות לעבירות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חלקם לכאורה זוטר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3794/23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גועאד אבו אלקיעאן נגד 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11.6.23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העמיד את עונשו של מערער נעדר עבר פלילי שהורשע בעבירה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סיוע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להובלת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בעבור תמורה מזערית בדמות </w:t>
      </w:r>
      <w:r>
        <w:rPr>
          <w:rFonts w:cs="David" w:ascii="David" w:hAnsi="David"/>
          <w:sz w:val="24"/>
          <w:szCs w:val="24"/>
        </w:rPr>
        <w:t>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 כאשר נקבע כי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ידע את סוג וכמות הנשק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שציין כי</w:t>
      </w:r>
      <w:r>
        <w:rPr>
          <w:rFonts w:cs="David" w:ascii="David" w:hAnsi="David"/>
          <w:sz w:val="24"/>
          <w:szCs w:val="24"/>
          <w:rtl w:val="true"/>
        </w:rPr>
        <w:t xml:space="preserve">: "...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עונש זה נותן ביטוי הולם בנסיבות העניין למגמת ההחמרה בעבירות נשק הנקוטה לעת הזאת</w:t>
      </w:r>
      <w:r>
        <w:rPr>
          <w:rFonts w:cs="David" w:ascii="David" w:hAnsi="David"/>
          <w:b/>
          <w:bCs/>
          <w:sz w:val="24"/>
          <w:szCs w:val="24"/>
          <w:rtl w:val="true"/>
        </w:rPr>
        <w:t>...".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מדיניות הענישה כיום הינה של החמרה משמעותית של הענישה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ביחס לענישה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לא מכבר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בבחינת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 לציין כי קשה להלום מקרה הדומה בנסיבותיו ובעניין זה יש טעם בטענת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מדובר במקרה תקדימי בנסיבותיו הפרטניות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בהינתן השילוב של סיוע לניסיון לייצור נשק על דרך מכירת 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וחלקיהם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למעשה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עצימת עיניים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לאפשרות שיוסבו או ישמשו לצורך הסבה לכלי נשק המסוגלים להמית וכמעט ואין בנמצא פסיקה ביחס למקרים דומים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28283-11-22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נגד חסונה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3.7.23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צעיר כבן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זהה של סיוע לניסיון ייצור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שעניינה בכך שביצע משלוחים של רובים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ובהם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רובים דמויי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לגורמים משטחי הרש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בעניין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מנדורי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בית המשפט המחוזי החמיר בעונשו של נאשם שהורשע בהחזקת רובה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"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דמוי </w:t>
      </w:r>
      <w:r>
        <w:rPr>
          <w:rFonts w:cs="David" w:ascii="David" w:hAnsi="David"/>
          <w:color w:val="000000"/>
          <w:sz w:val="24"/>
          <w:szCs w:val="24"/>
        </w:rPr>
        <w:t>M-16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שהוסב לנשק שבכוחו להמית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והחזקת חלקי נשק ומחסנית תואמת עם תחמושת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והעמיד את עונשו על </w:t>
      </w:r>
      <w:r>
        <w:rPr>
          <w:rFonts w:cs="David" w:ascii="David" w:hAnsi="David"/>
          <w:color w:val="000000"/>
          <w:sz w:val="24"/>
          <w:szCs w:val="24"/>
        </w:rPr>
        <w:t>20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מטבע הדברים ישנן אבחנות אל מול עניינו של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>).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המתחם באספקלריה של עקרון אחידות הענישה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אבו חיה הועמד לדין בבית משפט צבאי ביחס לחלקו ונדון ביום </w:t>
      </w:r>
      <w:r>
        <w:rPr>
          <w:rFonts w:cs="David" w:ascii="David" w:hAnsi="David"/>
          <w:sz w:val="24"/>
          <w:szCs w:val="24"/>
        </w:rPr>
        <w:t>14.6.22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בבית משפט צבאי יהודה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תיק </w:t>
      </w:r>
      <w:r>
        <w:rPr>
          <w:rFonts w:cs="David" w:ascii="David" w:hAnsi="David"/>
          <w:sz w:val="24"/>
          <w:szCs w:val="24"/>
        </w:rPr>
        <w:t>2140/21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מאסרים על תנאי וקנס בסך </w:t>
      </w:r>
      <w:r>
        <w:rPr>
          <w:rFonts w:cs="David" w:ascii="David" w:hAnsi="David"/>
          <w:sz w:val="24"/>
          <w:szCs w:val="24"/>
        </w:rPr>
        <w:t>15,000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עיון בגזר הדין ובכתב האישום המתוקן בעניינו של אבו חיה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מלמד כי זה הורשע בעבירות של סחר בציוד מלחמתי לפי 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צו בדבר הוראות ביטחון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יהודה והשומרון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ביחס לחלקו באותם אירועים בהם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שצויין שם כי זה רכש והחזיק את כלי האיירסופט והחלקים מהנאשם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מפורטת כל פעולה נוספת שביצע לשם הסבתם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חסן אלעוברה הורשע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7267-02-21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זהות לנאשם של סיוע לניסיון ייצור נשק ומכירת צעצועים מסוכנים ללא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חלקו  כמתווך בחלק מההתרחשויות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מושא האישום הראשון  בלבד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>בגין חלקו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לריצוי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וקנס בסך </w:t>
      </w:r>
      <w:r>
        <w:rPr>
          <w:rFonts w:cs="David" w:ascii="David" w:hAnsi="David"/>
          <w:sz w:val="24"/>
          <w:szCs w:val="24"/>
        </w:rPr>
        <w:t>25,000</w:t>
      </w:r>
      <w:r>
        <w:rPr>
          <w:rFonts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sz w:val="24"/>
          <w:sz w:val="24"/>
          <w:szCs w:val="24"/>
          <w:rtl w:val="true"/>
        </w:rPr>
        <w:t>תוך שבית המשפט ציין במסגרת הנימוקים שהביאוהו לכבד את הסדר הטיעון כי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המאסר בעבודות שירות למעשה יתווסף לתקופה בת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שלא נוכתה מתקופת המאסר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בה היה עצור אלעוברה במעצר של ממש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צויין כי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זאת יש להוסיף את רמת האחריות המצומצמת של הנאשם לפי כתב האישום המתוקן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...", </w:t>
      </w:r>
      <w:r>
        <w:rPr>
          <w:rFonts w:ascii="David" w:hAnsi="David" w:cs="David"/>
          <w:sz w:val="24"/>
          <w:sz w:val="24"/>
          <w:szCs w:val="24"/>
          <w:rtl w:val="true"/>
        </w:rPr>
        <w:t>וכן עמד בית המשפט בעניינו של אלעוברה על העובדה שהשתלב בהליך טיפולי ונטל אחריות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עניינו של חסן מאובחן לקולא מעניינו של הנאשם הן בשים לב לפער בכתב האישום מקום שחלקו של הנאשם רב יותר ומשמעותי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בשים לאבחנות הנובעות מתוכן התסקירים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התסקיר החיובי יותר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בתוכנו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של חסן אלעוברה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אבחנה נוספת לקולת אלעוברה ביחס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נלמדת מהאמור בגזר דינו של חסן אלעוברה לפיו חסן הוזהר על ידי גורמי האכיפה ביוני </w:t>
      </w:r>
      <w:r>
        <w:rPr>
          <w:rFonts w:cs="David" w:ascii="David" w:hAnsi="David"/>
          <w:sz w:val="24"/>
          <w:szCs w:val="24"/>
        </w:rPr>
        <w:t>2019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ומאז חדל ממעשיו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וכי 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בשלב זה המדינה החליטה שלא לאכוף את הדין כנגד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כשרק בחודש פברואר </w:t>
      </w:r>
      <w:r>
        <w:rPr>
          <w:rFonts w:cs="David" w:ascii="David" w:hAnsi="David"/>
          <w:b/>
          <w:bCs/>
          <w:sz w:val="24"/>
          <w:szCs w:val="24"/>
        </w:rPr>
        <w:t>2021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החליטה המדינה להגיש כתב אישום כנגד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זאת כאשר הוא היה משוחרר ללא כל תנאי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משך תקופה של שנה וחי ומבלי שנערכה כנגדו כל אכיפה מאז שנודע למדינה על מעשיו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מעבר לחלקו הרב יותר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ומעבר לפער הנלמד מהתסקירים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דומה כי העובדה שבניגוד לאלעוברה הנאשם לא חדל לחלוטין ממעשיו לאחר שהוזהר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אם צמצמם באופן שבו לאחר שהוזהר נמנע מלמכור 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ברי הסבה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נמנע מלמכור חלקים שיכולים לשמש להרכבה על כלי נשק כהגדרתם בחוק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בחלקם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הורכבו על שני כלי נשק כהגדרתם בחוק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מקימה בפני עצמה אבחנה משמעותית לחובת הנאשם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פארס אשר שימש כמתווך בחלק מההתרחשויות  מושא האישום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ומכאן שחלקו מצומצם במידה ניכרת ביחס לנאשם דנן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7267-02-21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 בעבירות של מתן אמצעים לביצוע 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וריבוי עבירות של הפרת צו פיקוח על מצרכים ושירותים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איסור ייצוא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ייבוא ומכירה של צעצועים מסוכנים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 עתרו הצדדים במשותף לעונשים מוסכמים ופארס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וקנס בסך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בסופו של 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לנאשם פארס גם לא הורשע בכל עבירה הקשורה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שונות באופיין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בעניינו של אמג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 תוקן כתב האישום וזה הודה במסגרת הסדר טיעון בתיק </w:t>
      </w:r>
      <w:r>
        <w:rPr>
          <w:rFonts w:cs="David" w:ascii="David" w:hAnsi="David"/>
          <w:sz w:val="24"/>
          <w:szCs w:val="24"/>
        </w:rPr>
        <w:t>2028/21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 בית המשפט הצבאי ביהודה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שהרכיב באמצעות חלקים שהועברו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 רובי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מאולתרים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 עתרו הצדדים לעונשים מוסכמים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ואמג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ד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וקנס בסך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ומן הכלל אל הפרט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הקשורות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לחומרא יש לקחת בחשבון את העובדה שאין המדובר באירוע נקודתי ויחיד או מעידה רגעית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שהאישום הראשון מגולל מסכת של מעשים שהתרחשו במספר מועדים שונים באופן שבו היתה לנאשם שהות לשקול לכלכל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להבין ולהפנים את משמעות  מעשיו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               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הקשורות בביצוע העבירות נתתי משקל לסכומי הכסף הגדולים שיש בהם בכדי ללמד על היקף ומשמעות העסקאות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בהעברת רובי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ברי ההסבה לשטחי איו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בכדי להעצים את הסיכון הנשקף מהם כי  יכול וישמשו גם לפעילות עויינת כנגד בטחון המדינה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העובדה שהנאשם מכר את חלקי הרובים באישום 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שהוזהר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מהווה נסיבה של ממש לחומרא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אם כי 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זה יש לקחת בחשבון את העובדה שהנאשם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שהוזהר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סירב למכור רובים ברי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הסבה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ולמעט החלקים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אותם ניתן היה להרכיב על כלי נשק כהגדרתם בחוק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ואלו אף הורכבו על שניים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סירב לבקשה למכור רובי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איירסופט</w:t>
      </w:r>
      <w:r>
        <w:rPr>
          <w:rFonts w:cs="David" w:ascii="David" w:hAnsi="David"/>
          <w:sz w:val="24"/>
          <w:szCs w:val="24"/>
          <w:rtl w:val="true"/>
        </w:rPr>
        <w:t xml:space="preserve">"  </w:t>
      </w:r>
      <w:r>
        <w:rPr>
          <w:rFonts w:ascii="David" w:hAnsi="David" w:cs="David"/>
          <w:sz w:val="24"/>
          <w:sz w:val="24"/>
          <w:szCs w:val="24"/>
          <w:rtl w:val="true"/>
        </w:rPr>
        <w:t>שלמים ברי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הסבה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והסכים למכור רק רובים שלמים שאינם ברי הסבה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לקולת הנאשם יש לקחת בחשבון את העובדה שהנאשם פעל מתוך עצימת עיניים מקום בו אין מחלוקת כי לנאשם לא היתה ידיעה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פוזיטיבית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בדבר הכוונה להסב את הרובים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רק חשד ביחס לאפשרות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עניינו של הנאשם  אל מול המעורבים האחרים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שפורט בהרחבה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עניינו של חסן אלעוברה שהורשע בעבירה זהה מאובחן לקולא אל מול 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השוני המהותי בחלקם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העובדה שחסן אלעוברה חדל ממעשיו לאחר שהוזהר וזמן רב טרם שהוחל בהליכי אכיפה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ובהינתן התמונה השונה הנלמדת מהתסקירים ומשכך לא רק שאין מקום לגזור גזירה שווה אל מול העונש שהושת על אלעוברה אלא שככל שעונש זה מהווה אמת מידה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שעל עונשו של הנאשם להיות ברף גבוה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ממשי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אמנם אבו חיה רכש מהנאשם את רובי האיירסופט והחלקים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ניתן להתעלם מכך שכפועל יוצא מהסדרי הטיעון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השונים </w:t>
      </w:r>
      <w:r>
        <w:rPr>
          <w:rFonts w:ascii="David" w:hAnsi="David" w:cs="David"/>
          <w:sz w:val="24"/>
          <w:sz w:val="24"/>
          <w:szCs w:val="24"/>
          <w:rtl w:val="true"/>
        </w:rPr>
        <w:t>שנערכו עם הנאשם ועם אבו חיה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אלו הורשעו בעבירות שונות ביחס למסכת המעשים המיוחסים להם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מקום בו אבו חיה הורשע במספר עבירות של סחר בציוד מלחמתי ואילו הנאשם הורשע בריבוי עבירות של סיוע לניסיון ייצור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מכאן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שבהינתן העבירות השונות בהן הורשעו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ובהינתן כלל אחידות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עונשו של הנאשם להימצא ברף נמוך יותר מזה שהושת על אבו חיה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הצדדים הגיעו להסדר טיעון במסגרתו הוגבלה המאשימה לעתירה לעונש של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לצד העונשים הנלווים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משהצדדים הגיעו להסדר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טווח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תקרה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הרי שככל שבית המשפט ימצא לכבד את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ספק אם היה מקום לקבוע את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בכפוף לסקירת  מלוא התחנות הנדרשות בהתאם לתיקון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ור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והשווו 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2014/20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אנקרי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cs="David" w:ascii="David" w:hAnsi="David"/>
          <w:sz w:val="24"/>
          <w:szCs w:val="24"/>
        </w:rPr>
        <w:t>19.1.21</w:t>
      </w:r>
      <w:r>
        <w:rPr>
          <w:rFonts w:cs="David" w:ascii="David" w:hAnsi="David"/>
          <w:sz w:val="24"/>
          <w:szCs w:val="24"/>
          <w:rtl w:val="true"/>
        </w:rPr>
        <w:t xml:space="preserve">]).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בהינתן הנסיבות וחומרת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אלמלא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מקום לקבוע מתחם שתחתיתו גבוהה יותר מהרף לו עותרת המאשימה שכן הסדר הטיעון נוטה לקולא ביחס לענישה הראויה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הגם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לזכור כי בית המשפט אינו מחליף בשיקול דעתו את שיקול דעתם של הצדדים והמבחן לקבלת הסדר טיעון הוא מבחן הסבירות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בהינתן נימוקי המאשימה ובשים לב לעונשים שהושתו על אבו חיה מחד ועל פארס אלעוברה מאידך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בשים לב לאיזונים הנלמדים מהעיצומים הכלכליים המוסכמים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שלא ניתן לומר כי המאשימה פעלה בחוסר סבירות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שעה שנכנסה לגדרו של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הוסף לאמור את הודאת הנאשם המגלמת נטילת אחריות לצד חסכון בזמן שיפוטי והעובדה שהנאשם נעדר עבר פלילי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העולה מהתסקיר ומהראיות לעונש ביחס לנסיבותיו האישיות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ודומה כי הגם שהסדר הטיעון נוטה חסד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עדיין סביר הוא וניתן לאמצו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משמצאתי לאמץ את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שהרף התחתון של המתחם יהיה במסגרת המנעד המוסכם בין הצדדים בהסדר הטיעון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כן יועמד המתחם בטווח שבין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לבין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 שיקולי החומרא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מקום לתת משקל לשיקולי הרתעת היחיד בשים לב להתרשמות שירות המבחן כי הנאשם לא נתרם מהקבוצה הטיפולית בה השתלב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אוחז בעמדות ק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רבניות ובנוקשות חשיבתית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משליך על גורמים חיצוניים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נטייה להבליט את חלקיו החיוביים ובשים לב לגורמי הסיכון לעבריינות דומה בעתיד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מהם התרשם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הגם 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משקלו של שיקול זה מועם בשים לב להתרשמות שירות המבחן כי היה במעצר ובהליך המשפטי בכדי להוות גורם מרתיע עבור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מקום בו בית המשפט העליון שב ו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בהיר שוב ושוב בפסיקה עדכנית את חשיבות שיקולי הרתעת הרבים בעבירות הקשורות בנשק ואת העדיפות שיש לתת לשיקולי ההרתעה על פני שיקולים אחרים לרבות על פני שיקולי השיקום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שקבע כי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המסר העונשי הנגזר ממדיניות הענישה האמורה הוא כי שומר נפשו ושלומו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ירחק מעבירות הנשק באשר הן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קלות כחמורות</w:t>
      </w:r>
      <w:r>
        <w:rPr>
          <w:rFonts w:cs="David" w:ascii="David" w:hAnsi="David"/>
          <w:b/>
          <w:bCs/>
          <w:sz w:val="24"/>
          <w:szCs w:val="24"/>
          <w:rtl w:val="true"/>
        </w:rPr>
        <w:t>" (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78/21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נגד מדינת ישראל</w:t>
      </w:r>
      <w:r>
        <w:rPr>
          <w:rFonts w:cs="David" w:ascii="David" w:hAnsi="David"/>
          <w:sz w:val="24"/>
          <w:szCs w:val="24"/>
          <w:rtl w:val="true"/>
        </w:rPr>
        <w:t>, [</w:t>
      </w:r>
      <w:r>
        <w:rPr>
          <w:rFonts w:cs="David" w:ascii="David" w:hAnsi="David"/>
          <w:sz w:val="24"/>
          <w:szCs w:val="24"/>
        </w:rPr>
        <w:t>26.7.22</w:t>
      </w:r>
      <w:r>
        <w:rPr>
          <w:rFonts w:cs="David" w:ascii="David" w:hAnsi="David"/>
          <w:sz w:val="24"/>
          <w:szCs w:val="24"/>
          <w:rtl w:val="true"/>
        </w:rPr>
        <w:t xml:space="preserve">]),  </w:t>
      </w:r>
      <w:r>
        <w:rPr>
          <w:rFonts w:ascii="David" w:hAnsi="David" w:cs="David"/>
          <w:sz w:val="24"/>
          <w:sz w:val="24"/>
          <w:szCs w:val="24"/>
          <w:rtl w:val="true"/>
        </w:rPr>
        <w:t>וכי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ניכרת במהלך השנים מגמה של החמרה בענישה לצורך מיגור עבירות אלו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תוך מתן משקל לשיקולי הרתעה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..."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2482/22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קדורה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cs="David" w:ascii="David" w:hAnsi="David"/>
          <w:sz w:val="24"/>
          <w:szCs w:val="24"/>
        </w:rPr>
        <w:t>14.4.22</w:t>
      </w:r>
      <w:r>
        <w:rPr>
          <w:rFonts w:cs="David" w:ascii="David" w:hAnsi="David"/>
          <w:sz w:val="24"/>
          <w:szCs w:val="24"/>
          <w:rtl w:val="true"/>
        </w:rPr>
        <w:t xml:space="preserve">]), </w:t>
      </w:r>
      <w:r>
        <w:rPr>
          <w:rFonts w:ascii="David" w:hAnsi="David" w:cs="David"/>
          <w:sz w:val="24"/>
          <w:sz w:val="24"/>
          <w:szCs w:val="24"/>
          <w:rtl w:val="true"/>
        </w:rPr>
        <w:t>הרי שהיה מקום להכליל בגדר שיקולי הענישה בתוך המתחם גם את שיקולי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לקולת הנאשם נתתי משקל לכך שהנאשם 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בשים לב לגילו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ניהל שנים 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משך כל חייו הבוגרים אורח חיים נורמטיבי לחלוטין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שמירה על יציבות תעסוקתית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יציבות </w:t>
      </w:r>
      <w:r>
        <w:rPr>
          <w:rFonts w:ascii="David" w:hAnsi="David" w:cs="David"/>
          <w:sz w:val="24"/>
          <w:sz w:val="24"/>
          <w:szCs w:val="24"/>
          <w:rtl w:val="true"/>
        </w:rPr>
        <w:t>ביתר תחומי 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לקולת הנאשם נתתי משקל להודאתו המגלמת נטילת 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חיסכון בזמן שיפוטי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לקולת הנאשם נתתי משקל להשלכות הענישה על משפחתו של הנאשם בשים לב לנלמד מעדויות רעייתו ובנו ביחס למחירים הכבדים בהם נשאה משפחת הנאשם מאז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במהלך תקופת מעצרו ולאחריה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לעוגן שמהווה הנאשם עבור 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נתתי משקל להשלכות הענישה בכל הקשור לפגיעה במטה לחמו של הנאשם ובמטה לחמה של משפחתו משכעולה מהראיות לעונש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השתלב בעבודה ברשת פארם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והתקדם במערך התפקידים ומשהענישה תפגע בתעסוקתו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לקולת הנאשם נתתי משקל להתרשמות שירות המבחן כי 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ההליך המשפטי והתנאים המגבילים בהם שהה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היוו עבורו חוויה מטלטלת ומרתיעה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לקולת הנאשם נתתי משקל להתרשמות שירות המבחן כי הנאשם חש חרטה על התנהלותו ומסיכויי השיקום עליהם עמד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בגדר שיקולי הקולא  נתתי משקל לעולה מהתסקיר ומעדותה  של ד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 רותם שטרנברג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והמסמך שכתבה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בדבר העובדה שהנאשם סבל מחרדות וטופל במרכז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חוסן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בשדרות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בכפוף לתהייה שעלתה ביחס לרשום אודות הרקע לאותן חרדות כמפורט לעיל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לעולה מעדותה של ד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 שטרנברג והמסמך 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בדבר דאגתו של הנאשם למשפחתו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מסירותו למשפחתו והאמור אודות מצבו הרגשי והחרדות מהן סובל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      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נתתי משקל גם להתרשמות ד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 שטרנברג בדבר החשש מהתמוטטות של הנאשם וקשייו להתאושש ממנה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ככל שייאסר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שאינן 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נתתי משקל גם לעולה מעדויותיהם לעונש של רעייתו ובנו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בדבר הקשיים שחוו ותחושותיהם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השלכות המעצר וההליך על המשפחה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משאת הימים בהם שהה במעצר בפיקוח אלקטרוני לא ניתן לנכות מתקופת המאסר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שבגדר שיקולי הענישה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מקום לתת משקל גם לעובדה שמיום </w:t>
      </w:r>
      <w:r>
        <w:rPr>
          <w:rFonts w:cs="David" w:ascii="David" w:hAnsi="David"/>
          <w:sz w:val="24"/>
          <w:szCs w:val="24"/>
        </w:rPr>
        <w:t>29.6.21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ליום </w:t>
      </w:r>
      <w:r>
        <w:rPr>
          <w:rFonts w:cs="David" w:ascii="David" w:hAnsi="David"/>
          <w:sz w:val="24"/>
          <w:szCs w:val="24"/>
        </w:rPr>
        <w:t>27.7.22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שהה הנאשם במעצר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פרק הזמן ששהה בתנאים מגבילים לאחר מכן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של הנאשם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לשילוב של מכלול הנסיבות האישיות עם פרק הזמן הממושך במיוחד שבו שהה במעצר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יכול וניתן לתת משקל לעובדה שהנאשם שהה כשנה וחודש במעצר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רק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אלא לנסות ולאזן תקופה זו עם הענישה הכוללת על דרך חריגה מהמתחם בשל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שיקולי צדק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קלנר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במאגרים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ascii="David" w:hAnsi="David" w:cs="David"/>
          <w:sz w:val="24"/>
          <w:sz w:val="24"/>
          <w:szCs w:val="24"/>
          <w:rtl w:val="true"/>
        </w:rPr>
        <w:t>ור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לעניין זה גם מאמרו של ד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 יובל ליבדרו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חריגה ממתחם העונש ההולם מטעמי צדק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הסנגור </w:t>
      </w:r>
      <w:r>
        <w:rPr>
          <w:rFonts w:cs="David" w:ascii="David" w:hAnsi="David"/>
          <w:sz w:val="24"/>
          <w:szCs w:val="24"/>
        </w:rPr>
        <w:t>197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5-4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2013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ער  אני לכך שהנסיבות שונות לחלוטין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עדיין דומה כי במקרה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למכלול הנסיבות לרבות מנעד העונש המוסכם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והעיצומים הכספיים המוסכמים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 והיחסיות בינו לבין התקופה בה שהה הנאשם במעצר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להתבסס על אפשרות זו לשם איזון מסוים של העונש הכולל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240" w:after="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את המלצת שירות המבחן לא אוכל לאמץ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 אינה עולה בקנה אחד עם עקרון ההלימה אותו התווה המחוקק כעקרון המנחה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חשיבות שיקולי ההרתעה ולמעשה גם אינה עולה בקנה אחד עם תוכן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מקום בו מחד נמנע שירות המבחן מהמלצה טיפולית והתרשם כי לא חלה כל התקדמות בטיפול בנאשם משך תקופה בת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בה שולב בקבוצה טיפולית וכי לא נתרם מהטיפול ומאידך המלצת שירות המבחן הינה לחריגה משמעותית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מקום בו מהתסקיר לא עולים שיקולי שיקום המצדיקים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יפים הדברים שציין בית המשפט העליון 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 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25.8.2020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בעניינו של נאשם שהורשע בעבירת נשק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 xml:space="preserve">לא מצאתי ממש בטענה בדבר סטיית בית משפט השלום מהמלצת שירות המבחן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להמלצת שירות המבחן ידועה חשיבות רבה באשר לתחומים שעליהם הוא מופקד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ואולם ההכרעה הסופית בעניין העונש מסורה לבית המשפט בלבד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עליו לאזן בין כלל שיקולי הענישה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קיימים בענייננו שיקולים כבדי משקל בדבר הצורך בהרתעת הרבים אשר אינם ממין השיקולים הנשקלים על ידי שירות המבחן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נלקחים בחשבון על ידי בית המשפט הגוזר את הדין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לכאורה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חשיבות שיקולי 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מקום לגזור את דינו של הנאשם ברף גבוה יותר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משהסדר הטיעון נמצא סביר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ומשמצאתי לאמצו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ומשהרף התחתון של המתחם הינו הרף העליון של המנעד המוסכם בין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הרי שמשמעות הדברים היא כי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עצמה הסכימה לגזור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את דינו של הנאשם ברף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התחתון של המתחם שהוא הרף </w:t>
      </w:r>
      <w:r>
        <w:rPr>
          <w:rFonts w:ascii="David" w:hAnsi="David" w:cs="David"/>
          <w:sz w:val="24"/>
          <w:sz w:val="24"/>
          <w:szCs w:val="24"/>
          <w:rtl w:val="true"/>
        </w:rPr>
        <w:t>העליון של המנעד המוסכם בין הצדדים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השילוב של מכלול הנסיבות בעניינו של הנאשם והעובדה ששהה במעצר בפיקוח אלקטרוני משך כשנה וחודש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לחרוג במידת מה מהמתחם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 לעיל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האמור לעיל אני דן את הנאשם לעונשים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בניכוי ימי מעצרו במעצר של ממש בתיק זה מיום </w:t>
      </w:r>
      <w:r>
        <w:rPr>
          <w:rFonts w:cs="David" w:ascii="David" w:hAnsi="David"/>
          <w:sz w:val="24"/>
          <w:szCs w:val="24"/>
        </w:rPr>
        <w:t>18.1.21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ליום </w:t>
      </w:r>
      <w:r>
        <w:rPr>
          <w:rFonts w:cs="David" w:ascii="David" w:hAnsi="David"/>
          <w:sz w:val="24"/>
          <w:szCs w:val="24"/>
        </w:rPr>
        <w:t>29.6.21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וזאת על תנאי שלא יעבור משך שלוש שנים מיום שחרורו ממאסרו כל עבירת נשק לרבות ביחס לתחמושת או אביזרים לנשק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90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הקנס ישולם 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חודשיים שווים ורצופים החל מיום  </w:t>
      </w:r>
      <w:r>
        <w:rPr>
          <w:rFonts w:cs="David" w:ascii="David" w:hAnsi="David"/>
          <w:sz w:val="24"/>
          <w:szCs w:val="24"/>
        </w:rPr>
        <w:t>1.10.23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ובכל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בחודש שלאחריו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יעמוד הנאשם באחד מן השיעורים במועדו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תעמוד יתרת הקנס לפירעון מידי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ומובהרות לנאשם הוראות החוק ביחס לאפשרות החיוב בתוספת הפיגורים כמו גם אפשרות הפעלת המאסר חלף הקנס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הכסף המזומן שנתפס בתיק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פירותיו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יחולט לטובת קרן החילוט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ההפקדה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שהופקדה בקרן החילוט כנגד שחרור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פירותיה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בתיק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u w:val="single"/>
          </w:rPr>
          <w:t>7167-02-21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תחולט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מורה על חילוט רכב מסוג שברולט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רישוי </w:t>
      </w:r>
      <w:r>
        <w:rPr>
          <w:rFonts w:cs="David" w:ascii="David" w:hAnsi="David"/>
        </w:rPr>
        <w:t>90-358-74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sz w:val="24"/>
          <w:szCs w:val="24"/>
          <w:u w:val="single"/>
        </w:rPr>
        <w:t>45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ימים מהיום לבית המשפט העליון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יואב עטר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7109-02-21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יורי שאולוב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4235" TargetMode="External"/><Relationship Id="rId7" Type="http://schemas.openxmlformats.org/officeDocument/2006/relationships/hyperlink" Target="http://www.nevo.co.il/law/74235/2" TargetMode="External"/><Relationship Id="rId8" Type="http://schemas.openxmlformats.org/officeDocument/2006/relationships/hyperlink" Target="http://www.nevo.co.il/law/4614" TargetMode="External"/><Relationship Id="rId9" Type="http://schemas.openxmlformats.org/officeDocument/2006/relationships/hyperlink" Target="http://www.nevo.co.il/law/4614/39.c.4" TargetMode="External"/><Relationship Id="rId10" Type="http://schemas.openxmlformats.org/officeDocument/2006/relationships/hyperlink" Target="http://www.nevo.co.il/law/43355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4235/2" TargetMode="External"/><Relationship Id="rId16" Type="http://schemas.openxmlformats.org/officeDocument/2006/relationships/hyperlink" Target="http://www.nevo.co.il/law/74235" TargetMode="External"/><Relationship Id="rId17" Type="http://schemas.openxmlformats.org/officeDocument/2006/relationships/hyperlink" Target="http://www.nevo.co.il/law/4614/39.c.4" TargetMode="External"/><Relationship Id="rId18" Type="http://schemas.openxmlformats.org/officeDocument/2006/relationships/hyperlink" Target="http://www.nevo.co.il/law/461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6913995" TargetMode="External"/><Relationship Id="rId22" Type="http://schemas.openxmlformats.org/officeDocument/2006/relationships/hyperlink" Target="http://www.nevo.co.il/case/28513828" TargetMode="External"/><Relationship Id="rId23" Type="http://schemas.openxmlformats.org/officeDocument/2006/relationships/hyperlink" Target="http://www.nevo.co.il/case/29564821" TargetMode="External"/><Relationship Id="rId24" Type="http://schemas.openxmlformats.org/officeDocument/2006/relationships/hyperlink" Target="http://www.nevo.co.il/case/2792523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7510949" TargetMode="External"/><Relationship Id="rId27" Type="http://schemas.openxmlformats.org/officeDocument/2006/relationships/hyperlink" Target="http://www.nevo.co.il/case/29486731" TargetMode="External"/><Relationship Id="rId28" Type="http://schemas.openxmlformats.org/officeDocument/2006/relationships/hyperlink" Target="http://www.nevo.co.il/case/29668302" TargetMode="External"/><Relationship Id="rId29" Type="http://schemas.openxmlformats.org/officeDocument/2006/relationships/hyperlink" Target="http://www.nevo.co.il/case/29130200" TargetMode="External"/><Relationship Id="rId30" Type="http://schemas.openxmlformats.org/officeDocument/2006/relationships/hyperlink" Target="http://www.nevo.co.il/law/43355" TargetMode="External"/><Relationship Id="rId31" Type="http://schemas.openxmlformats.org/officeDocument/2006/relationships/hyperlink" Target="http://www.nevo.co.il/case/26541540" TargetMode="External"/><Relationship Id="rId32" Type="http://schemas.openxmlformats.org/officeDocument/2006/relationships/hyperlink" Target="http://www.nevo.co.il/case/27305799" TargetMode="External"/><Relationship Id="rId33" Type="http://schemas.openxmlformats.org/officeDocument/2006/relationships/hyperlink" Target="http://www.nevo.co.il/case/28513828" TargetMode="External"/><Relationship Id="rId34" Type="http://schemas.openxmlformats.org/officeDocument/2006/relationships/hyperlink" Target="http://www.nevo.co.il/case/17015235" TargetMode="External"/><Relationship Id="rId35" Type="http://schemas.openxmlformats.org/officeDocument/2006/relationships/hyperlink" Target="http://www.nevo.co.il/case/26913995" TargetMode="External"/><Relationship Id="rId36" Type="http://schemas.openxmlformats.org/officeDocument/2006/relationships/hyperlink" Target="http://www.nevo.co.il/case/27374608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2024-08-26T13:40:00Z</dcterms:created>
  <dc:creator> </dc:creator>
  <dc:description/>
  <cp:keywords/>
  <dc:language>en-IL</dc:language>
  <cp:lastModifiedBy>h1</cp:lastModifiedBy>
  <dcterms:modified xsi:type="dcterms:W3CDTF">2024-08-26T13:40:00Z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יורי שאולוב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26913995:2;28513828:2;29564821;27925239;27510949;29486731;29668302;29130200;26541540;27305799;17015235;27374608</vt:lpwstr>
  </property>
  <property fmtid="{D5CDD505-2E9C-101B-9397-08002B2CF9AE}" pid="9" name="CITY">
    <vt:lpwstr>ב"ש</vt:lpwstr>
  </property>
  <property fmtid="{D5CDD505-2E9C-101B-9397-08002B2CF9AE}" pid="10" name="DATE">
    <vt:lpwstr>20230706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יואב עטר</vt:lpwstr>
  </property>
  <property fmtid="{D5CDD505-2E9C-101B-9397-08002B2CF9AE}" pid="14" name="LAWLISTTMP1">
    <vt:lpwstr>70301/144.b2;025;031</vt:lpwstr>
  </property>
  <property fmtid="{D5CDD505-2E9C-101B-9397-08002B2CF9AE}" pid="15" name="LAWLISTTMP2">
    <vt:lpwstr>74235/002</vt:lpwstr>
  </property>
  <property fmtid="{D5CDD505-2E9C-101B-9397-08002B2CF9AE}" pid="16" name="LAWLISTTMP3">
    <vt:lpwstr>4614/039.c.4</vt:lpwstr>
  </property>
  <property fmtid="{D5CDD505-2E9C-101B-9397-08002B2CF9AE}" pid="17" name="LAWLISTTMP4">
    <vt:lpwstr>43355</vt:lpwstr>
  </property>
  <property fmtid="{D5CDD505-2E9C-101B-9397-08002B2CF9AE}" pid="18" name="LAWYER">
    <vt:lpwstr>מורן גז;ליל פטישי ;משה סרוגוביץ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7109</vt:lpwstr>
  </property>
  <property fmtid="{D5CDD505-2E9C-101B-9397-08002B2CF9AE}" pid="25" name="NEWPARTB">
    <vt:lpwstr>02</vt:lpwstr>
  </property>
  <property fmtid="{D5CDD505-2E9C-101B-9397-08002B2CF9AE}" pid="26" name="NEWPARTC">
    <vt:lpwstr>21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390020230706</vt:lpwstr>
  </property>
  <property fmtid="{D5CDD505-2E9C-101B-9397-08002B2CF9AE}" pid="37" name="TYPE_N_DATE">
    <vt:lpwstr>39020230706</vt:lpwstr>
  </property>
  <property fmtid="{D5CDD505-2E9C-101B-9397-08002B2CF9AE}" pid="38" name="VOLUME">
    <vt:lpwstr/>
  </property>
  <property fmtid="{D5CDD505-2E9C-101B-9397-08002B2CF9AE}" pid="39" name="WORDNUMPAGES">
    <vt:lpwstr>17</vt:lpwstr>
  </property>
</Properties>
</file>