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71333-10-21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בר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השופט דניאל פיש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תום אברהם בר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7" w:name="ABSTRACT_START"/>
      <w:bookmarkStart w:id="8" w:name="ABSTRACT_START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הודה במסגרת הסדר שלא כלל הסדר אודות העונש בעבירות בנשק לפי </w:t>
      </w:r>
      <w:hyperlink r:id="rId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 ו</w:t>
      </w:r>
      <w:r>
        <w:rPr>
          <w:rFonts w:cs="Arial" w:ascii="Arial" w:hAnsi="Arial"/>
          <w:sz w:val="26"/>
          <w:szCs w:val="26"/>
          <w:rtl w:val="true"/>
        </w:rPr>
        <w:t>-</w:t>
      </w:r>
      <w:hyperlink r:id="rId9"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 ל</w:t>
      </w: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והחזקת סם לצריכה עצמית לפי </w:t>
      </w:r>
      <w:hyperlink r:id="rId1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7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+ (</w:t>
      </w:r>
      <w:hyperlink r:id="rId1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ג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סיפא ל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[</w:t>
      </w:r>
      <w:r>
        <w:rPr>
          <w:rFonts w:ascii="Arial" w:hAnsi="Arial" w:cs="Arial"/>
          <w:sz w:val="26"/>
          <w:sz w:val="26"/>
          <w:szCs w:val="26"/>
          <w:rtl w:val="true"/>
        </w:rPr>
        <w:t>נוסח חדש</w:t>
      </w:r>
      <w:r>
        <w:rPr>
          <w:rFonts w:cs="Arial" w:ascii="Arial" w:hAnsi="Arial"/>
          <w:sz w:val="26"/>
          <w:szCs w:val="26"/>
          <w:rtl w:val="true"/>
        </w:rPr>
        <w:t xml:space="preserve">],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bookmarkStart w:id="9" w:name="ABSTRACT_END"/>
      <w:bookmarkEnd w:id="9"/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פי האמור בכתב האישום המתוקן ביום </w:t>
      </w:r>
      <w:r>
        <w:rPr>
          <w:rFonts w:cs="Arial" w:ascii="Arial" w:hAnsi="Arial"/>
          <w:sz w:val="26"/>
          <w:szCs w:val="26"/>
        </w:rPr>
        <w:t>24.7.21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בשעות הצהריים נגנב אקדח מסוג גלוק מתוך רכב של איש 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בהמשך ביום </w:t>
      </w:r>
      <w:r>
        <w:rPr>
          <w:rFonts w:cs="Arial" w:ascii="Arial" w:hAnsi="Arial"/>
          <w:sz w:val="26"/>
          <w:szCs w:val="26"/>
        </w:rPr>
        <w:t>17.10.21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בסמוך לשעה </w:t>
      </w:r>
      <w:r>
        <w:rPr>
          <w:rFonts w:cs="Arial" w:ascii="Arial" w:hAnsi="Arial"/>
          <w:sz w:val="26"/>
          <w:szCs w:val="26"/>
        </w:rPr>
        <w:t>10:37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נסע הנאשם עם אחר על קטנוע כאשר האחר נהג והנאשם יושב מאחור בקרית אתא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זאת כאשר הנאשם החזיק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נשא והוביל את האקדח הגנוב טען במחסנית ובה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וכדור נוסף בקנה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כשהם בתוך תיק צד על גופו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הפאוץ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החזיק הנאשם בתוך הפאוץ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שתי שקיות ובתוכם </w:t>
      </w:r>
      <w:r>
        <w:rPr>
          <w:rFonts w:cs="Arial" w:ascii="Arial" w:hAnsi="Arial"/>
          <w:sz w:val="26"/>
          <w:szCs w:val="26"/>
        </w:rPr>
        <w:t>1.8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סם מסוג קנאביס לצריכה עצמית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שוטרים שהיו בסיור שיגרתי עצרו את הקטנוע כאשר הנאשם ירד ממנו והחל לברוח בריצה נושא את הנשק והסמים על גופו והוא נעצר בסמוך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המדינה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המדינה טענה שעבירות הנשק הפכו זה מכבר למכת מדינה של ממש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6383/21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קריף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13.2.22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צוין שהנאשם בעל מספר רב של הרשעות קודמות בעבירות שונות וריצה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תקופות מאסר של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במקרים שונים והוא השתחרר ממאסרו האחרון בשנת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כמו כן צוין שתלוי נגדו מאסר מותנה בן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במסגרת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25483-12-17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צוינו הסיכונים הגלומים בעבירות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ביחס לנסיבות המקרה נטען שחלקו היחסי של הנאשם היה מלא ובלעדי שאומנם לא נגרם נזק פיזי אך כאמור עבירות הנשק מסכנות את החברה באופן מהותי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שהיה צפוי להיגרם נזק משמעותי כתוצאה מהימצאות הנשק בעבירה וביחס לתכנון צוינה העובדה שהיה כדור בקנה וניסיון להימלט משוטרים שמלמדים על זמינות ומוכנות לשימוש באופן מידי של הנשק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שנפגעו הערכים החברתיים של שלום הציבור וביטחונו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שלמות הגוף ושמירה על הסדר הציבורי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ביעור תופעת החזקת כלי הנשק הבלתי חוקיים מהווה אינטרס ציבורי מהמעלה הראשונה ויסוד הכרחי למאבק בתופעות הפשיעה האלימה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ביחס למדיניות הענישה צוינו המקרים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579/21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אמג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31.11.21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שם נידונה הרשעתו על פי הודאה בעבירות של נשיאה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הובלה והחזקת נשק ותחמושת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והחזקת סם מסוכן שלא לצריכה עצמית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החזיק ונשא אקדח עם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נוספים בשקית ונאשם אחר נשא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החזיק והוביל מחסנית נוספת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כדורים נוספים על גופו וסם מסוכן במשקל </w:t>
      </w:r>
      <w:r>
        <w:rPr>
          <w:rFonts w:cs="Arial" w:ascii="Arial" w:hAnsi="Arial"/>
          <w:sz w:val="26"/>
          <w:szCs w:val="26"/>
        </w:rPr>
        <w:t>0.79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'.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הערכאה הדיונית קבעה מתחם שבין </w:t>
      </w:r>
      <w:r>
        <w:rPr>
          <w:rFonts w:cs="Arial" w:ascii="Arial" w:hAnsi="Arial"/>
          <w:sz w:val="26"/>
          <w:szCs w:val="26"/>
        </w:rPr>
        <w:t>2-4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שנות מאסר והשית על הנאשם בן </w:t>
      </w: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בערעור הקלו עמו מטעמים של אחידות הענישה בשל העונש שהוטל על הנאשם השני וגזרו </w:t>
      </w:r>
      <w:r>
        <w:rPr>
          <w:rFonts w:cs="Arial" w:ascii="Arial" w:hAnsi="Arial"/>
          <w:sz w:val="26"/>
          <w:szCs w:val="26"/>
        </w:rPr>
        <w:t>31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</w:rPr>
        <w:t>3877/06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באלי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17.11.16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נדחה ערעורו של נאשם שהורשע על פי הודאתו בעבירה של נשיאת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היה מדובר בצעיר בעל עבר פלילי מכביד מאוד שביצע את העבירה שבועות ספורים לאחר שסיים לרצות עונש מאסרו האחרון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נשא אקדח טעון במחסנית שנגנב קודם לכן בהתפרצות לדירה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הגיע למקום מפגש ליישוב סכסוך כשהוא נושא את האקדח תחילה ברכב ולאחר מכן במכנסיו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על ידי הערכאה הדיונית בן </w:t>
      </w:r>
      <w:r>
        <w:rPr>
          <w:rFonts w:cs="Arial" w:ascii="Arial" w:hAnsi="Arial"/>
          <w:sz w:val="26"/>
          <w:szCs w:val="26"/>
        </w:rPr>
        <w:t>24-48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ונגזרו </w:t>
      </w:r>
      <w:r>
        <w:rPr>
          <w:rFonts w:cs="Arial" w:ascii="Arial" w:hAnsi="Arial"/>
          <w:sz w:val="26"/>
          <w:szCs w:val="26"/>
        </w:rPr>
        <w:t>34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נדחה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חרף גילו הצעיר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15423-12-19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רוש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11.8.20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הורשע נאשם על פי הודאתו במסגרת הסדר טיעון בעבירות ש לנשיאה והובלה של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נסע באופניו ונשא תיק על גבו עם אקדח מסוג ברטה שנגנב שנים קודם לכן ובתוכו מחסנית עם כדור אחד ומשתיק קול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נתפס עת ניסה לברוח משוטרים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עונש הולם שבן שנתיים עד </w:t>
      </w:r>
      <w:r>
        <w:rPr>
          <w:rFonts w:cs="Arial" w:ascii="Arial" w:hAnsi="Arial"/>
          <w:sz w:val="26"/>
          <w:szCs w:val="26"/>
        </w:rPr>
        <w:t>4.5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כאשר ביהמ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 סטה מההסדר שביקש לקבוע עונש של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והטיל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43009-08-20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אמע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21.11.21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נאשם על פי הודאתו בנשיאה והובלת נשק ותחמושת והפרעה לשוטר במילוי תפקידו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הנאשם נשא והוביל ברכבו אקדח מתוצרת </w:t>
      </w:r>
      <w:r>
        <w:rPr>
          <w:rFonts w:cs="Arial" w:ascii="Arial" w:hAnsi="Arial"/>
          <w:sz w:val="26"/>
          <w:szCs w:val="26"/>
        </w:rPr>
        <w:t>FN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ומחסנית ריקה וכדורים ונתפס עת שניסה להימלט משוטרים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שבין </w:t>
      </w:r>
      <w:r>
        <w:rPr>
          <w:rFonts w:cs="Arial" w:ascii="Arial" w:hAnsi="Arial"/>
          <w:sz w:val="26"/>
          <w:szCs w:val="26"/>
        </w:rPr>
        <w:t>18-36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והושתו עליו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למרות שהיה צעיר ובעל משפחה עם הרשעה אחת בלבד והתקבלה המלצה חיובית משירות המבחן לריצוי עונש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לנסיבות שאינן קשורות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נטען שהנאשם ידע היטב מהו עושה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טענה המדינה שמדובר בעבירה שעל פי הפסיקה קיים בה יסוד של אלימות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נטען שלא מתקיימים שיקולי שיקום במקרה דנן ונתבקש לקבוע מתחם שבין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בפועל ולהטיל עונש ברף האמצעי של 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יחד עם הפלת המאסר המותנה במצטבר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 כספי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הסנגור התמקד תחילה בנסיבותיו האישיות הקשות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בהתאם לעדויותיהם של שני עדי אופי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אישה הנשואה לבן דוד של הנאשם ומדריך הפנימייה בה גדל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העידו שמדובר בנאשם שבא מרקע משפחתי קשה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שאביו חלה ונפטר עת היה צעיר ואמו הפסיקה לתפקד ואף התנהלה כלפיו באלימות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אחת מאחיותיו נדרסה ונהרגה עת היה בן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יצוין ששני העדים העידו שהנאשם טען בפניהם שהתעייף מחיי עבריינות והוא בשל לשינוי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הסנגור טען שהמקרים שאוזכרו על ידי המדינה אינם דומים למקרה דכאן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שבמקרה כאן מדובר בנאשם בעל נסיבות אישיות קשות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שהוא עצמו בן </w:t>
      </w:r>
      <w:r>
        <w:rPr>
          <w:rFonts w:cs="Arial" w:ascii="Arial" w:hAnsi="Arial"/>
          <w:sz w:val="26"/>
          <w:szCs w:val="26"/>
        </w:rPr>
        <w:t>25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ומעוניין לצאת לדרך חדשה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הסנגור טען שמאז ששוחרר ממעצרו האחרון בשנת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 הסתבך עם החוק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צוין שהוא נוקט בתהליכי שיקום בתקופת המעצר ובשל לשינוי בחייו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שמתחם הענישה שהמדינה טענה לו אינו סביר ומידתי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ביחס למאסר המותנה ביקש הסנגור שהעונש ייקבע בחופף לעונש שיוטל בתיק הנוכחי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אוזכרה פסיקה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29529-08-20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מחמד בכריה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4.2.21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הנאשם על פי הודאתו בנשיאה והובלה של אקדח ושתי מחסניות שהוסלקו עליו בתוך מכנס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נעצר על ידי שוטרים עת שנסע ברכב עם חבר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שבין </w:t>
      </w:r>
      <w:r>
        <w:rPr>
          <w:rFonts w:cs="Arial" w:ascii="Arial" w:hAnsi="Arial"/>
          <w:sz w:val="26"/>
          <w:szCs w:val="26"/>
        </w:rPr>
        <w:t>14-18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והוטלו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הועדפה המלצת שירות המבחן לענישה שיקומית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30327-02-21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מחאג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14.9.21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שם בגין הרשעה בעבירות של נשיאה והובלת נשק והפרעה לשוטר במילוי תפקידו הוטלו על הנאשם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באותו מקרה הנאשם הודה בחזקת נשק ארוך מסוג </w:t>
      </w:r>
      <w:r>
        <w:rPr>
          <w:rFonts w:cs="Arial" w:ascii="Arial" w:hAnsi="Arial"/>
          <w:sz w:val="22"/>
          <w:szCs w:val="22"/>
        </w:rPr>
        <w:t>M16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ושתי מחסניות עם כדורים עטוף בשמיכה ועם כדור בקנה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בעוד הנאשם השני המתין להסיע אותו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היה רעול פנים ועטה כפפות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שוטרים שהבחינו בו קראו לו לעצור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באותו מקרה נקבע שחלקו של הנאשם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שעליו הוטלו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היה פחות מחלקו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והוא ללא עבר פלילי ואדם צעיר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4978/19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חוסאם אבו מנסור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28.1.20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המערערים שהם אחים הורשעו על פי הודאתם לאחר שברכבם נמצא כלי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אחד הורשע בנשיאה והובלה והשני הורשע בהחזקת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הראשון נידון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והשני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לריצוי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 על העונש מטעם הנאשם נדחה למרות שתוארו הליכי שיקום מוצלחים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עם זאת הועמד עונשו של הנאשם הראשון על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והשני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4215/18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וליד ח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טיב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8.7.18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הרשעה על פי הודאה בנשיאת נשק ותחמושת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בצירוף תיקי סמים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הושתו על הנאשם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תואר שהנאשם נמצא בשעת לילה מאוחרת ברשות הרבים כשהוא נושא אקדח טעון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הנאשם הביע צער על מעשיו והתנצל על העבירות שביצע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הגיש מכתב בו הביע חרטה והתנצלות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תיאר את שהותו בכלא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תיאר את קורותיו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תיאר את מהלכי השיקום שהוא עובר בתקופת המעצר ופירט שהוא מעוניין להתחיל בחיים חדשים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הוא לקח אחריות על עברו וטען שכעת הוא בשל לשינוי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במקרה דנן נפגעו הערכים המוגנים של שמירה על שלום הציבור ושמירה על שלמות הגוף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כיוון שמדובר בעבירות נשק אין מנוס ממסקנה שמדובר בפגיעה משמעותית בערכים המוגנים האמורים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יצוין שאך לאחרונה חזרה הפסיקה והדגישה שיש להחמיר בכל הקשור לעבירות הנשק המסכנות את החברה וליחידיה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5993/21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חוסין אבו סאלח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29.11.21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במקרה זה קדם תכנון לביצוע העבירה בכך שהנשק הוסתר בפאוץ</w:t>
      </w:r>
      <w:r>
        <w:rPr>
          <w:rFonts w:cs="Arial" w:ascii="Arial" w:hAnsi="Arial"/>
          <w:sz w:val="26"/>
          <w:szCs w:val="26"/>
          <w:rtl w:val="true"/>
        </w:rPr>
        <w:t xml:space="preserve">'. </w:t>
      </w:r>
      <w:r>
        <w:rPr>
          <w:rFonts w:ascii="Arial" w:hAnsi="Arial" w:cs="Arial"/>
          <w:sz w:val="26"/>
          <w:sz w:val="26"/>
          <w:szCs w:val="26"/>
          <w:rtl w:val="true"/>
        </w:rPr>
        <w:t>חלקו היחסי של הנאשם היה מלא והיות שמדובר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צפוי היה להיגרם נזק משמעותי והנאשם היה צריך להבין את הפסול שבמעשיו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על בסיס הפסיקה שהוגשה על ידי הצדדים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ובעיקר הפסיקה מטעם המדינה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מקום לקבוע מתחם ענישה שבין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בכל הקשור לפסיקת העונש בתוך 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אומנם לנאשם נסיבות חיים קשות והוא גדל בתנאים של חסכים משמעותיים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עם זאת לחובתו עבר פלילי משמעותי למרות גילו הצעיר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נידון בעבר למאסרים בגין עבירות שונות לרבות עבירות אלימות לתקופות מאסר משמעותיות שלא הניאו אותה מלחזור ולהפר את החוק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כמו כן הוא השתחרר ממאסרו האחרון רק  במרץ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מאידך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נלקחו בחשבון תהליכי שיקום שהוא עובר כעת במהלך מעצרו כפי שדווח על ידי רשויות שב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הנני מטיל על הנאשם עונשים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מהם תנוכה תקופת מעצרו החל מיום </w:t>
      </w:r>
      <w:r>
        <w:rPr>
          <w:rFonts w:cs="Arial" w:ascii="Arial" w:hAnsi="Arial"/>
          <w:sz w:val="26"/>
          <w:szCs w:val="26"/>
        </w:rPr>
        <w:t>17.10.21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של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לתקופה של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מיום שחרורו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התנאי יופעל    במידה והנאשם יבצע עבירת אלימות או עבירת נשק מסוג פשע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בהתחשב בנסיבותיו האישיות של הנאשם לא מצאתי מקום להטיל קנס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בכל הקשור לתנאי שהוטל במסגרת </w:t>
      </w: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25483-12-17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3.10.18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אין ספק שיש מקום להפעיל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ראו </w:t>
      </w: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4065/18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ישראלי יאסו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30.8.18</w:t>
      </w:r>
      <w:r>
        <w:rPr>
          <w:rFonts w:cs="Arial" w:ascii="Arial" w:hAnsi="Arial"/>
          <w:sz w:val="26"/>
          <w:szCs w:val="26"/>
          <w:rtl w:val="true"/>
        </w:rPr>
        <w:t xml:space="preserve">)), </w:t>
      </w:r>
      <w:r>
        <w:rPr>
          <w:rFonts w:ascii="Arial" w:hAnsi="Arial" w:cs="Arial"/>
          <w:sz w:val="26"/>
          <w:sz w:val="26"/>
          <w:szCs w:val="26"/>
          <w:rtl w:val="true"/>
        </w:rPr>
        <w:t>ועל כן בנסיבות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המאסר המותנה בן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יופעל באופן חלקי מחציתו במצטבר ובמחציתו בחופף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  <w:u w:val="single"/>
        </w:rPr>
      </w:pPr>
      <w:r>
        <w:rPr>
          <w:rFonts w:cs="Arial" w:ascii="Arial" w:hAnsi="Arial"/>
          <w:b/>
          <w:bCs/>
          <w:color w:val="FFFFFF"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71333-10-21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תום אברהם 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a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27925239" TargetMode="External"/><Relationship Id="rId15" Type="http://schemas.openxmlformats.org/officeDocument/2006/relationships/hyperlink" Target="http://www.nevo.co.il/case/23398891" TargetMode="External"/><Relationship Id="rId16" Type="http://schemas.openxmlformats.org/officeDocument/2006/relationships/hyperlink" Target="http://www.nevo.co.il/case/27355028" TargetMode="External"/><Relationship Id="rId17" Type="http://schemas.openxmlformats.org/officeDocument/2006/relationships/hyperlink" Target="http://www.nevo.co.il/case/26248279" TargetMode="External"/><Relationship Id="rId18" Type="http://schemas.openxmlformats.org/officeDocument/2006/relationships/hyperlink" Target="http://www.nevo.co.il/case/26939409" TargetMode="External"/><Relationship Id="rId19" Type="http://schemas.openxmlformats.org/officeDocument/2006/relationships/hyperlink" Target="http://www.nevo.co.il/case/27077225" TargetMode="External"/><Relationship Id="rId20" Type="http://schemas.openxmlformats.org/officeDocument/2006/relationships/hyperlink" Target="http://www.nevo.co.il/case/27401739" TargetMode="External"/><Relationship Id="rId21" Type="http://schemas.openxmlformats.org/officeDocument/2006/relationships/hyperlink" Target="http://www.nevo.co.il/case/25892549" TargetMode="External"/><Relationship Id="rId22" Type="http://schemas.openxmlformats.org/officeDocument/2006/relationships/hyperlink" Target="http://www.nevo.co.il/case/24263578" TargetMode="External"/><Relationship Id="rId23" Type="http://schemas.openxmlformats.org/officeDocument/2006/relationships/hyperlink" Target="http://www.nevo.co.il/case/27907602" TargetMode="External"/><Relationship Id="rId24" Type="http://schemas.openxmlformats.org/officeDocument/2006/relationships/hyperlink" Target="http://www.nevo.co.il/case/23398891" TargetMode="External"/><Relationship Id="rId25" Type="http://schemas.openxmlformats.org/officeDocument/2006/relationships/hyperlink" Target="http://www.nevo.co.il/case/24263426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2023-05-08T09:24:00Z</dcterms:created>
  <dc:creator> </dc:creator>
  <dc:description/>
  <cp:keywords/>
  <dc:language>en-IL</dc:language>
  <cp:lastModifiedBy>h1</cp:lastModifiedBy>
  <dcterms:modified xsi:type="dcterms:W3CDTF">2023-05-08T09:24:00Z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תום אברהם 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27925239;23398891:2;27355028;26248279;26939409;27077225;27401739;25892549;24263578;27907602;24263426</vt:lpwstr>
  </property>
  <property fmtid="{D5CDD505-2E9C-101B-9397-08002B2CF9AE}" pid="9" name="CITY">
    <vt:lpwstr>חי'</vt:lpwstr>
  </property>
  <property fmtid="{D5CDD505-2E9C-101B-9397-08002B2CF9AE}" pid="10" name="DATE">
    <vt:lpwstr>20220330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</vt:lpwstr>
  </property>
  <property fmtid="{D5CDD505-2E9C-101B-9397-08002B2CF9AE}" pid="15" name="LAWLISTTMP2">
    <vt:lpwstr>4216/007.a;007.c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71333</vt:lpwstr>
  </property>
  <property fmtid="{D5CDD505-2E9C-101B-9397-08002B2CF9AE}" pid="23" name="NEWPARTB">
    <vt:lpwstr>10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390020220330</vt:lpwstr>
  </property>
  <property fmtid="{D5CDD505-2E9C-101B-9397-08002B2CF9AE}" pid="35" name="TYPE_N_DATE">
    <vt:lpwstr>39020220330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