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bookmarkStart w:id="0" w:name="LastJudge"/>
      <w:bookmarkEnd w:id="0"/>
      <w:r>
        <w:rPr>
          <w:rtl w:val="true"/>
        </w:rPr>
        <w:t xml:space="preserve"> 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7166-09-15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נעמה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7238-09-15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ני טנוס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אחמד נעמה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דוד יזרעאלי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הנאשם </w:t>
      </w:r>
      <w:r>
        <w:rPr>
          <w:rtl w:val="true"/>
        </w:rPr>
        <w:t>–</w:t>
      </w:r>
      <w:r>
        <w:rPr>
          <w:rtl w:val="true"/>
        </w:rPr>
        <w:t xml:space="preserve"> הובא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הסניגור </w:t>
      </w:r>
      <w:r>
        <w:rPr>
          <w:rtl w:val="true"/>
        </w:rPr>
        <w:t>–</w:t>
      </w:r>
      <w:r>
        <w:rPr>
          <w:rtl w:val="true"/>
        </w:rPr>
        <w:t xml:space="preserve"> עו</w:t>
      </w:r>
      <w:r>
        <w:rPr>
          <w:rtl w:val="true"/>
        </w:rPr>
        <w:t>"</w:t>
      </w:r>
      <w:r>
        <w:rPr>
          <w:rtl w:val="true"/>
        </w:rPr>
        <w:t xml:space="preserve">ד סנעאללה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Start w:id="6" w:name="LawTable_End"/>
      <w:bookmarkEnd w:id="4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כנגד הנאשם הוגש כתב אישום המייחס לו 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חלק של נשק ותחמושת שלא כדין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)- </w:t>
      </w:r>
      <w:r>
        <w:rPr>
          <w:rtl w:val="true"/>
        </w:rPr>
        <w:t xml:space="preserve">עבירה 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>+</w:t>
      </w:r>
      <w:r>
        <w:rPr>
          <w:rtl w:val="true"/>
        </w:rPr>
        <w:t>סיפא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 פי הנטען בכתב האישום</w:t>
      </w:r>
      <w:r>
        <w:rPr>
          <w:rtl w:val="true"/>
        </w:rPr>
        <w:t xml:space="preserve">,  </w:t>
      </w:r>
      <w:r>
        <w:rPr>
          <w:rtl w:val="true"/>
        </w:rPr>
        <w:t xml:space="preserve">ביום </w:t>
      </w:r>
      <w:r>
        <w:rPr/>
        <w:t>23.8.2015</w:t>
      </w:r>
      <w:r>
        <w:rPr>
          <w:rtl w:val="true"/>
        </w:rPr>
        <w:t xml:space="preserve"> </w:t>
      </w:r>
      <w:r>
        <w:rPr>
          <w:rtl w:val="true"/>
        </w:rPr>
        <w:t>במהלך חיפוש בביתו של הנאשם נתפסו בארון שבחדרו הפריטים הבאים בהם החזיק הנאשם שלא כדין</w:t>
      </w:r>
      <w:r>
        <w:rPr>
          <w:rtl w:val="true"/>
        </w:rPr>
        <w:t xml:space="preserve">: </w:t>
      </w:r>
      <w:r>
        <w:rPr>
          <w:rtl w:val="true"/>
        </w:rPr>
        <w:t>כלי דמוי תת</w:t>
      </w:r>
      <w:r>
        <w:rPr>
          <w:rtl w:val="true"/>
        </w:rPr>
        <w:t>-</w:t>
      </w:r>
      <w:r>
        <w:rPr>
          <w:rtl w:val="true"/>
        </w:rPr>
        <w:t>מקלע מאולתר שמסוגל לירות כדור ולהמית אדם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ומחסנית לנשק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באותו יום נתפסו בקרקע חקלאית שאינה שייכת לנאשם ואינו מורשה להשתמש בה</w:t>
      </w:r>
      <w:r>
        <w:rPr>
          <w:rtl w:val="true"/>
        </w:rPr>
        <w:t xml:space="preserve">, </w:t>
      </w:r>
      <w:r>
        <w:rPr>
          <w:rtl w:val="true"/>
        </w:rPr>
        <w:t>את הפריטים הבאים בהם החזיק הנאשם שלא כדין</w:t>
      </w:r>
      <w:r>
        <w:rPr>
          <w:rtl w:val="true"/>
        </w:rPr>
        <w:t xml:space="preserve">: </w:t>
      </w:r>
      <w:r>
        <w:rPr>
          <w:rtl w:val="true"/>
        </w:rPr>
        <w:t>כלי דמוי תת</w:t>
      </w:r>
      <w:r>
        <w:rPr>
          <w:rtl w:val="true"/>
        </w:rPr>
        <w:t>-</w:t>
      </w:r>
      <w:r>
        <w:rPr>
          <w:rtl w:val="true"/>
        </w:rPr>
        <w:t>מקלע מאולתר שמסוגל לירות כדור ולהמית אדם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 נשק</w:t>
      </w:r>
      <w:r>
        <w:rPr>
          <w:rtl w:val="true"/>
        </w:rPr>
        <w:t xml:space="preserve">, </w:t>
      </w:r>
      <w:r>
        <w:rPr>
          <w:rtl w:val="true"/>
        </w:rPr>
        <w:t>ורימון יד הלם</w:t>
      </w:r>
      <w:r>
        <w:rPr>
          <w:rtl w:val="true"/>
        </w:rPr>
        <w:t xml:space="preserve">/ </w:t>
      </w:r>
      <w:r>
        <w:rPr>
          <w:rtl w:val="true"/>
        </w:rPr>
        <w:t xml:space="preserve">סנוור </w:t>
      </w:r>
      <w:r>
        <w:rPr/>
        <w:t>M7290</w:t>
      </w:r>
      <w:r>
        <w:rPr>
          <w:rtl w:val="true"/>
        </w:rPr>
        <w:t xml:space="preserve"> </w:t>
      </w:r>
      <w:r>
        <w:rPr>
          <w:rtl w:val="true"/>
        </w:rPr>
        <w:t xml:space="preserve">שבכוחו </w:t>
      </w:r>
      <w:r>
        <w:rPr>
          <w:rtl w:val="true"/>
        </w:rPr>
        <w:t>להזיק לאדם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שרות המבחן</w:t>
      </w:r>
      <w:r>
        <w:rPr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 שירות המבחן שהוגש לתיק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הוא כבן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גדל במשפחה המונה זוג הורים 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וכבר מגיל צעיר נחשף לשימוש לרעה בסמים ובאלכוהול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לנאשם אין עבר פלילי וזאת היא הסתבכותו הראשונה עם החוק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קצינת המבחן ציינה כי מדובר בבחור בעל יכולת תעסוקתית טובה המעידה על לקיחת אחריות מגיל צעיר כלפי עצמו וכלפי בני משפחתו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בהתייחס לאירוע נשוא כתב האישום</w:t>
      </w:r>
      <w:r>
        <w:rPr>
          <w:rtl w:val="true"/>
        </w:rPr>
        <w:t xml:space="preserve">, </w:t>
      </w:r>
      <w:r>
        <w:rPr>
          <w:rtl w:val="true"/>
        </w:rPr>
        <w:t>הנאשם הודה בעבירות המיוחסות לו באופן פורמלי בלבד תוך השלכת האחריות על אחר</w:t>
      </w:r>
      <w:r>
        <w:rPr>
          <w:rtl w:val="true"/>
        </w:rPr>
        <w:t xml:space="preserve">. </w:t>
      </w:r>
      <w:r>
        <w:rPr>
          <w:rtl w:val="true"/>
        </w:rPr>
        <w:t>קצינת המבחן התרשמה כי הנאשם מתקשה לבטא הבנה להשלכות ולחומרת העבירה בה הואשם</w:t>
      </w:r>
      <w:r>
        <w:rPr>
          <w:rtl w:val="true"/>
        </w:rPr>
        <w:t xml:space="preserve">, </w:t>
      </w:r>
      <w:r>
        <w:rPr>
          <w:rtl w:val="true"/>
        </w:rPr>
        <w:t>ואילו התייחסותו למצבו הפלילי מאופיינת בקונקרטיזציה ושטחיות תוך צמצום אחריותו למעשיו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קצינת המבחן מצאה</w:t>
      </w:r>
      <w:r>
        <w:rPr>
          <w:rtl w:val="true"/>
        </w:rPr>
        <w:t xml:space="preserve">, </w:t>
      </w:r>
      <w:r>
        <w:rPr>
          <w:rtl w:val="true"/>
        </w:rPr>
        <w:t>כי אצל הנאשם קיימים קווי אישיות תוקפניים וקושי בביטוי רגשי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הנאשם מרבה להשתמש במנגנוני הגנה מסוג הדחקה</w:t>
      </w:r>
      <w:r>
        <w:rPr>
          <w:rtl w:val="true"/>
        </w:rPr>
        <w:t xml:space="preserve">, </w:t>
      </w:r>
      <w:r>
        <w:rPr>
          <w:rtl w:val="true"/>
        </w:rPr>
        <w:t>וניכר כי הוא אינו מחובר לחומרת מצבו בכלל ולחומרת העבירות בהן הורשע בפרט</w:t>
      </w:r>
      <w:r>
        <w:rPr>
          <w:rtl w:val="true"/>
        </w:rPr>
        <w:t xml:space="preserve">. 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בהתבסס על האמור לעיל קצינת המבחן העריכה כי רמת הסיכון הנשקפת מהנאשם להישנות מעשים דומים לאלה המיוחסים לו בכתב האישום</w:t>
      </w:r>
      <w:r>
        <w:rPr>
          <w:rtl w:val="true"/>
        </w:rPr>
        <w:t xml:space="preserve">, </w:t>
      </w:r>
      <w:r>
        <w:rPr>
          <w:rtl w:val="true"/>
        </w:rPr>
        <w:t>היא 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 המסקנות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 נבדקו ביחס לנאשם אפיקים שיקומיים</w:t>
      </w:r>
      <w:r>
        <w:rPr>
          <w:rtl w:val="true"/>
        </w:rPr>
        <w:t xml:space="preserve">, </w:t>
      </w:r>
      <w:r>
        <w:rPr>
          <w:rtl w:val="true"/>
        </w:rPr>
        <w:t>וקצינת המבחן קבעה כי יש להטיל עליו ענישה מוחשית שתבהיר לו את גבולות החוק כמו גם גבולות האסור והמותר להתנהגותו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עדי האופי</w:t>
      </w:r>
      <w:r>
        <w:rPr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הסנגור העיד שני עדי אופי בעניינו של הנאשם</w:t>
      </w:r>
      <w:r>
        <w:rPr>
          <w:rtl w:val="true"/>
        </w:rPr>
        <w:t xml:space="preserve">: </w:t>
      </w:r>
      <w:r>
        <w:rPr>
          <w:rtl w:val="true"/>
        </w:rPr>
        <w:t>אמו של 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אניסה נעמה</w:t>
      </w:r>
      <w:r>
        <w:rPr>
          <w:rtl w:val="true"/>
        </w:rPr>
        <w:t xml:space="preserve">, </w:t>
      </w:r>
      <w:r>
        <w:rPr>
          <w:rtl w:val="true"/>
        </w:rPr>
        <w:t>ודודו של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עלי חוסיין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השניים העידו כי הנאשם בעל תכונות אופי טובות</w:t>
      </w:r>
      <w:r>
        <w:rPr>
          <w:rtl w:val="true"/>
        </w:rPr>
        <w:t xml:space="preserve">, </w:t>
      </w:r>
      <w:r>
        <w:rPr>
          <w:rtl w:val="true"/>
        </w:rPr>
        <w:t>שמעד לראשונה בחייו</w:t>
      </w:r>
      <w:r>
        <w:rPr>
          <w:rtl w:val="true"/>
        </w:rPr>
        <w:t xml:space="preserve">. </w:t>
      </w:r>
      <w:r>
        <w:rPr>
          <w:rtl w:val="true"/>
        </w:rPr>
        <w:t>הם תיארו את הסבל שנגרם לו ולמשפחתו עקב הסתבכותו בפלילים וביקשו להקל בעונשו</w:t>
      </w:r>
      <w:r>
        <w:rPr>
          <w:rtl w:val="true"/>
        </w:rPr>
        <w:t xml:space="preserve">. </w:t>
      </w:r>
      <w:r>
        <w:rPr>
          <w:rtl w:val="true"/>
        </w:rPr>
        <w:t>אמו של הנאשם הוסיפה</w:t>
      </w:r>
      <w:r>
        <w:rPr>
          <w:rtl w:val="true"/>
        </w:rPr>
        <w:t xml:space="preserve">, </w:t>
      </w:r>
      <w:r>
        <w:rPr>
          <w:rtl w:val="true"/>
        </w:rPr>
        <w:t>כי בנה מסייע בפרנסת הבית</w:t>
      </w:r>
      <w:r>
        <w:rPr>
          <w:rtl w:val="true"/>
        </w:rPr>
        <w:t xml:space="preserve">, </w:t>
      </w:r>
      <w:r>
        <w:rPr>
          <w:rtl w:val="true"/>
        </w:rPr>
        <w:t>ואילו עו</w:t>
      </w:r>
      <w:r>
        <w:rPr>
          <w:rtl w:val="true"/>
        </w:rPr>
        <w:t>"</w:t>
      </w:r>
      <w:r>
        <w:rPr>
          <w:rtl w:val="true"/>
        </w:rPr>
        <w:t>ד חוסין הוסיף כי ימשיך ללוות אותו גם לאחר סיום ההליך הפלילי על מנת לסייע בידיו שלא להסתבך שוב</w:t>
      </w:r>
      <w:r>
        <w:rPr>
          <w:rtl w:val="true"/>
        </w:rPr>
        <w:t xml:space="preserve">.  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 את טיעוניו בכתב והשלים את טיעוניו בעל</w:t>
      </w:r>
      <w:r>
        <w:rPr>
          <w:rtl w:val="true"/>
        </w:rPr>
        <w:t>-</w:t>
      </w:r>
      <w:r>
        <w:rPr>
          <w:rtl w:val="true"/>
        </w:rPr>
        <w:t>פה ובמסגרתם הפנה לערך החברתי המוגן שנפגע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שהינו שלום הציבור והגנה על חיי אדם</w:t>
      </w:r>
      <w:r>
        <w:rPr>
          <w:rtl w:val="true"/>
        </w:rPr>
        <w:t xml:space="preserve">, </w:t>
      </w:r>
      <w:r>
        <w:rPr>
          <w:rtl w:val="true"/>
        </w:rPr>
        <w:t>וטען כי נסיבות המקרה מצביעות על  מטרות לא כשרות במיוחד מצד הנאשם שכן הוא לא נתן הסבר אשר יניח את דעת בית המשפט להימצאות הנשק ללא רישיון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 את העובדה</w:t>
      </w:r>
      <w:r>
        <w:rPr>
          <w:rtl w:val="true"/>
        </w:rPr>
        <w:t xml:space="preserve">, </w:t>
      </w:r>
      <w:r>
        <w:rPr>
          <w:rtl w:val="true"/>
        </w:rPr>
        <w:t>כי הנאשם החזיק מספר נשקים עם מספר רב של כדורים בשני מקומות שונים</w:t>
      </w:r>
      <w:r>
        <w:rPr>
          <w:rtl w:val="true"/>
        </w:rPr>
        <w:t xml:space="preserve">, </w:t>
      </w:r>
      <w:r>
        <w:rPr>
          <w:rtl w:val="true"/>
        </w:rPr>
        <w:t>דבר המעצים את הסיכון לאלימות קשה עד קטלנית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 xml:space="preserve">לעניין מתחם העונש ההולם 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לפסיקה שונה המשקפת לטענתו מגמה של החמרה בענישה והטלת עונשי מאסר ממושכים כלפי המורשעים בעבירות נשק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 לקבוע מתחם עונש הולם כולל לכל העבירות המיוחסות לנאשם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שנע לדידו בין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 מאסר בפועל בצירוף מאסר על תנאי וקנס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בקש לגזור על הנאשם עונש מאסר במתחם העונש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מאסר על תנאי מרתיע וקנס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הסנגור לעונש</w:t>
      </w:r>
      <w:r>
        <w:rPr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בתחילת טיעוניו ציין הסניגור כי הענישה הינה אינדיבידואלית וצריכה להתאים לכל נאשם ונסיבותיו</w:t>
      </w:r>
      <w:r>
        <w:rPr>
          <w:rtl w:val="true"/>
        </w:rPr>
        <w:t xml:space="preserve">. </w:t>
      </w:r>
      <w:r>
        <w:rPr>
          <w:rtl w:val="true"/>
        </w:rPr>
        <w:t>אומנם מדובר בעבירה חמורה</w:t>
      </w:r>
      <w:r>
        <w:rPr>
          <w:rtl w:val="true"/>
        </w:rPr>
        <w:t xml:space="preserve">, </w:t>
      </w:r>
      <w:r>
        <w:rPr>
          <w:rtl w:val="true"/>
        </w:rPr>
        <w:t>אך מדובר בעבירה מהרף הנמוך של עבירות הנשק כאשר לעבירה הנ</w:t>
      </w:r>
      <w:r>
        <w:rPr>
          <w:rtl w:val="true"/>
        </w:rPr>
        <w:t>"</w:t>
      </w:r>
      <w:r>
        <w:rPr>
          <w:rtl w:val="true"/>
        </w:rPr>
        <w:t>ל לא התווספו עבירות נלוות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הסניגור הוסיף</w:t>
      </w:r>
      <w:r>
        <w:rPr>
          <w:rtl w:val="true"/>
        </w:rPr>
        <w:t xml:space="preserve">, </w:t>
      </w:r>
      <w:r>
        <w:rPr>
          <w:rtl w:val="true"/>
        </w:rPr>
        <w:t>כי מדובר בנאשם אשר הודה במעשים עוד בשלבי החקירה במשטרה ואף מסר מיוזמתו פרטים אודות מקום הימצאות הנשקים</w:t>
      </w:r>
      <w:r>
        <w:rPr>
          <w:rtl w:val="true"/>
        </w:rPr>
        <w:t xml:space="preserve">, </w:t>
      </w:r>
      <w:r>
        <w:rPr>
          <w:rtl w:val="true"/>
        </w:rPr>
        <w:t>דבר המעיד על יסוד נפשי נמוך ועל חרטה עמוקה וכנה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בכל הנוגע לאמור בתסקיר שירות המבחן</w:t>
      </w:r>
      <w:r>
        <w:rPr>
          <w:rtl w:val="true"/>
        </w:rPr>
        <w:t xml:space="preserve">, </w:t>
      </w:r>
      <w:r>
        <w:rPr>
          <w:rtl w:val="true"/>
        </w:rPr>
        <w:t>הסנגור סבר כי אין המדובר בתסקיר שלילי</w:t>
      </w:r>
      <w:r>
        <w:rPr>
          <w:rtl w:val="true"/>
        </w:rPr>
        <w:t xml:space="preserve">, </w:t>
      </w:r>
      <w:r>
        <w:rPr>
          <w:rtl w:val="true"/>
        </w:rPr>
        <w:t>אף שלא נכללה בו המלצה טיפולית אודות הנאשם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הסניגור הדגיש את העובדה כי לנאשם אין כל עבר פלילי</w:t>
      </w:r>
      <w:r>
        <w:rPr>
          <w:rtl w:val="true"/>
        </w:rPr>
        <w:t xml:space="preserve">, </w:t>
      </w:r>
      <w:r>
        <w:rPr>
          <w:rtl w:val="true"/>
        </w:rPr>
        <w:t>וכי מאז מעצרו הוא עבר תהליך מאוד ארוך</w:t>
      </w:r>
      <w:r>
        <w:rPr>
          <w:rtl w:val="true"/>
        </w:rPr>
        <w:t xml:space="preserve">, </w:t>
      </w:r>
      <w:r>
        <w:rPr>
          <w:rtl w:val="true"/>
        </w:rPr>
        <w:t>קיבל אחריות על מעשיו והודה במיוחס לו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 xml:space="preserve">לעניין מתחם העונש ההולם </w:t>
      </w:r>
      <w:r>
        <w:rPr>
          <w:rtl w:val="true"/>
        </w:rPr>
        <w:t xml:space="preserve">- </w:t>
      </w:r>
      <w:r>
        <w:rPr>
          <w:rtl w:val="true"/>
        </w:rPr>
        <w:t>הסניגור חלק על המתחם לו טען ב</w:t>
      </w:r>
      <w:r>
        <w:rPr>
          <w:rtl w:val="true"/>
        </w:rPr>
        <w:t>"</w:t>
      </w:r>
      <w:r>
        <w:rPr>
          <w:rtl w:val="true"/>
        </w:rPr>
        <w:t>כ המאשימה והוסיף</w:t>
      </w:r>
      <w:r>
        <w:rPr>
          <w:rtl w:val="true"/>
        </w:rPr>
        <w:t xml:space="preserve">, </w:t>
      </w:r>
      <w:r>
        <w:rPr>
          <w:rtl w:val="true"/>
        </w:rPr>
        <w:t>כי הפסיקה אשר הפנה אליה ב</w:t>
      </w:r>
      <w:r>
        <w:rPr>
          <w:rtl w:val="true"/>
        </w:rPr>
        <w:t>"</w:t>
      </w:r>
      <w:r>
        <w:rPr>
          <w:rtl w:val="true"/>
        </w:rPr>
        <w:t>כ המאשימה אינה תואמת את נסיבות המקרה של הנאשם</w:t>
      </w:r>
      <w:r>
        <w:rPr>
          <w:rtl w:val="true"/>
        </w:rPr>
        <w:t>.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הסניגור עתר להקל עם הנאשם ולהטיל עליו עונש צופה פני עתיד תוך הסתפקות בימי המעצר בהם שהה הנאשם עד כה</w:t>
      </w:r>
      <w:r>
        <w:rPr>
          <w:rtl w:val="true"/>
        </w:rPr>
        <w:t xml:space="preserve">. </w:t>
      </w:r>
      <w:r>
        <w:rPr>
          <w:rtl w:val="true"/>
        </w:rPr>
        <w:t>כמו כן ביקש הסניגור להעמיד את הנאשם בצו מבחן תקופה של שנה וחצי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הנאשם ביקש לומר את דברו בבית המשפט כאשר הביע צער וחרטה על מעשיו וטען כי למד מהם לקח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  <w:r>
        <w:rPr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Times New Roman" w:ascii="Times New Roman" w:hAnsi="Times New Roman"/>
          <w:lang w:eastAsia="he-IL"/>
        </w:rPr>
        <w:t>23</w:t>
      </w:r>
      <w:r>
        <w:rPr>
          <w:rFonts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cs="Times New Roman"/>
          <w:rtl w:val="true"/>
          <w:lang w:eastAsia="he-IL"/>
        </w:rPr>
        <w:t>הנאשם חטא בביצוע עבירות חמורות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הוא החזיק בנשק שמסוגל לירות ובכוחו להמית אדם וכן בתחמושת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וזאת בלא רשות על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פי דין להחזקתם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הערך המוגן שנפגע כתוצאה מביצוע העבירה הוא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שכן שימוש בנשק שלא כדין עלול להוביל לתוצאות הרות אסון עד כדי קיפוח חיי אדם</w:t>
      </w:r>
      <w:r>
        <w:rPr>
          <w:rtl w:val="true"/>
        </w:rPr>
        <w:t xml:space="preserve">. 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אין צורך להכביר במלים אודות הסכנה הטמונה בביצוע עבירות בנשק לביטחון הציבור והפרט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אנו עדים לאלימות גואה מדי יום תוך שימוש בנשק חם באופן שפוגע בשלום גופם ושלוות נפשם של הציבור</w:t>
      </w:r>
      <w:r>
        <w:rPr>
          <w:rtl w:val="true"/>
        </w:rPr>
        <w:t xml:space="preserve">, </w:t>
      </w:r>
      <w:r>
        <w:rPr>
          <w:rtl w:val="true"/>
        </w:rPr>
        <w:t>ולצערנו אף לקיפוח חיי אדם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בהיות הזכות לביטחון הגוף והנפש ערך בסיסי לקיומנו כבני אדם בחברה אנושית מתוקנת</w:t>
      </w:r>
      <w:r>
        <w:rPr>
          <w:rtl w:val="true"/>
        </w:rPr>
        <w:t xml:space="preserve">, </w:t>
      </w:r>
      <w:r>
        <w:rPr>
          <w:rtl w:val="true"/>
        </w:rPr>
        <w:t>ברי כי שיקולי ההלימה מחייבים העדפה ברורה של האינטרס הציבורי על פני האינטרס האישי של הנאשם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 xml:space="preserve">בתיק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פאיד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מיום </w:t>
      </w:r>
      <w:r>
        <w:rPr>
          <w:rFonts w:eastAsia="Times New Roman" w:cs="Times New Roman" w:ascii="Times New Roman" w:hAnsi="Times New Roman"/>
          <w:lang w:eastAsia="he-IL"/>
        </w:rPr>
        <w:t>28.11.2011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>נקבע ביחס לעבירות הנשק כי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:  </w:t>
      </w:r>
    </w:p>
    <w:p>
      <w:pPr>
        <w:pStyle w:val="NoSpacing"/>
        <w:spacing w:lineRule="auto" w:line="360"/>
        <w:ind w:start="1133" w:end="993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בנשק חומרתן מכופלת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הן בעצם המעבר על החוק ובמוטעם במאטריה הספציפית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נשק שאינו כדין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קרי – ברישיון כדבעי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מועד לפורענות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זכורה האמירה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אם ראית במחזה תיאטרון אקדח במערכה הראשונה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סופו שיירה במערכה השניה או השלישית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הימצאותו של נשק בידיים לא נכונות עלול להביא בסופו של יום אף לקיפוד חיי אדם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".</w:t>
      </w:r>
    </w:p>
    <w:p>
      <w:pPr>
        <w:pStyle w:val="NoSpacing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Style w:val="normal-h"/>
        </w:rPr>
        <w:t>28</w:t>
      </w:r>
      <w:r>
        <w:rPr>
          <w:rStyle w:val="normal-h"/>
          <w:rtl w:val="true"/>
        </w:rPr>
        <w:t>.</w:t>
        <w:tab/>
      </w:r>
      <w:r>
        <w:rPr>
          <w:rStyle w:val="normal-h"/>
          <w:rtl w:val="true"/>
        </w:rPr>
        <w:t>בית המשפט העליון פסק לא אחת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כי בגין עבירות של אחזקת נשק שלא כדין מן הראוי להטיל עונש מאסר לריצוי בפועל גם כשמדובר במי שזו לו עבירתו הראשונה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 xml:space="preserve">ביטוי לעמדה זו ניתן למצוא בתיק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Style w:val="normal-h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אדהאם 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 xml:space="preserve">מדינת ישראל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 xml:space="preserve">מיום </w:t>
      </w:r>
      <w:r>
        <w:rPr>
          <w:rStyle w:val="normal-h"/>
        </w:rPr>
        <w:t>5.12.2006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שם נקבע כי</w:t>
      </w:r>
      <w:r>
        <w:rPr>
          <w:rStyle w:val="normal-h"/>
          <w:rtl w:val="true"/>
        </w:rPr>
        <w:t xml:space="preserve">: </w:t>
      </w:r>
    </w:p>
    <w:p>
      <w:pPr>
        <w:pStyle w:val="NoSpacing"/>
        <w:spacing w:lineRule="auto" w:line="360"/>
        <w:ind w:start="1133" w:end="993"/>
        <w:jc w:val="both"/>
        <w:rPr/>
      </w:pPr>
      <w:r>
        <w:rPr>
          <w:rStyle w:val="ruller4-h1"/>
          <w:b/>
          <w:bCs/>
          <w:rtl w:val="true"/>
        </w:rPr>
        <w:t>"</w:t>
      </w:r>
      <w:r>
        <w:rPr>
          <w:rStyle w:val="ruller4-h1"/>
          <w:b/>
          <w:b/>
          <w:bCs/>
          <w:rtl w:val="true"/>
        </w:rPr>
        <w:t>המערער ביצע עבירה חמורה</w:t>
      </w:r>
      <w:r>
        <w:rPr>
          <w:rStyle w:val="ruller4-h1"/>
          <w:b/>
          <w:bCs/>
          <w:rtl w:val="true"/>
        </w:rPr>
        <w:t xml:space="preserve">, </w:t>
      </w:r>
      <w:r>
        <w:rPr>
          <w:rStyle w:val="ruller4-h1"/>
          <w:b/>
          <w:b/>
          <w:bCs/>
          <w:rtl w:val="true"/>
        </w:rPr>
        <w:t>כאשר החזיק נשק ומחסנית שלא כדין</w:t>
      </w:r>
      <w:r>
        <w:rPr>
          <w:rStyle w:val="ruller4-h1"/>
          <w:b/>
          <w:bCs/>
          <w:rtl w:val="true"/>
        </w:rPr>
        <w:t xml:space="preserve">. </w:t>
      </w:r>
      <w:r>
        <w:rPr>
          <w:rStyle w:val="ruller4-h1"/>
          <w:b/>
          <w:b/>
          <w:bCs/>
          <w:rtl w:val="true"/>
        </w:rPr>
        <w:t>בתי</w:t>
      </w:r>
      <w:r>
        <w:rPr>
          <w:rStyle w:val="ruller4-h1"/>
          <w:b/>
          <w:bCs/>
          <w:rtl w:val="true"/>
        </w:rPr>
        <w:t>-</w:t>
      </w:r>
      <w:r>
        <w:rPr>
          <w:rStyle w:val="ruller4-h1"/>
          <w:b/>
          <w:b/>
          <w:bCs/>
          <w:rtl w:val="true"/>
        </w:rPr>
        <w:t>המשפט כבר פסקו לא אחת</w:t>
      </w:r>
      <w:r>
        <w:rPr>
          <w:rStyle w:val="ruller4-h1"/>
          <w:b/>
          <w:bCs/>
          <w:rtl w:val="true"/>
        </w:rPr>
        <w:t xml:space="preserve">, </w:t>
      </w:r>
      <w:r>
        <w:rPr>
          <w:rStyle w:val="ruller4-h1"/>
          <w:b/>
          <w:b/>
          <w:bCs/>
          <w:rtl w:val="true"/>
        </w:rPr>
        <w:t>כי עבירה של החזקת נשק שלא כדין הינה חמורה בשל הסיכון הפוטנציאלי הגלום בה</w:t>
      </w:r>
      <w:r>
        <w:rPr>
          <w:rStyle w:val="ruller4-h1"/>
          <w:b/>
          <w:bCs/>
          <w:rtl w:val="true"/>
        </w:rPr>
        <w:t xml:space="preserve">. </w:t>
      </w:r>
      <w:r>
        <w:rPr>
          <w:rStyle w:val="ruller4-h1"/>
          <w:b/>
          <w:b/>
          <w:bCs/>
          <w:rtl w:val="true"/>
        </w:rPr>
        <w:t>והרי</w:t>
      </w:r>
      <w:r>
        <w:rPr>
          <w:rStyle w:val="ruller4-h1"/>
          <w:b/>
          <w:bCs/>
          <w:rtl w:val="true"/>
        </w:rPr>
        <w:t xml:space="preserve">, </w:t>
      </w:r>
      <w:r>
        <w:rPr>
          <w:rStyle w:val="ruller4-h1"/>
          <w:b/>
          <w:b/>
          <w:bCs/>
          <w:rtl w:val="true"/>
        </w:rPr>
        <w:t>כל הנושא נשק שלא כדין מסכן את הסובבים אותו ואת החברה כולה</w:t>
      </w:r>
      <w:r>
        <w:rPr>
          <w:rStyle w:val="ruller4-h1"/>
          <w:b/>
          <w:bCs/>
          <w:rtl w:val="true"/>
        </w:rPr>
        <w:t xml:space="preserve">. </w:t>
      </w:r>
      <w:r>
        <w:rPr>
          <w:rStyle w:val="ruller4-h1"/>
          <w:b/>
          <w:b/>
          <w:bCs/>
          <w:rtl w:val="true"/>
        </w:rPr>
        <w:t>כן כבר נקבע</w:t>
      </w:r>
      <w:r>
        <w:rPr>
          <w:rStyle w:val="ruller4-h1"/>
          <w:b/>
          <w:bCs/>
          <w:rtl w:val="true"/>
        </w:rPr>
        <w:t xml:space="preserve">, </w:t>
      </w:r>
      <w:r>
        <w:rPr>
          <w:rStyle w:val="ruller4-h1"/>
          <w:b/>
          <w:b/>
          <w:bCs/>
          <w:rtl w:val="true"/>
        </w:rPr>
        <w:t>כי עבירה זו מצדיקה השתת מאסר בפועל אף על מי שזו לו הרשעתו הראשונה</w:t>
      </w:r>
      <w:r>
        <w:rPr>
          <w:rStyle w:val="ruller4-h1"/>
          <w:b/>
          <w:bCs/>
          <w:rtl w:val="true"/>
        </w:rPr>
        <w:t xml:space="preserve">. </w:t>
      </w:r>
      <w:r>
        <w:rPr>
          <w:rStyle w:val="ruller4-h1"/>
          <w:b/>
          <w:b/>
          <w:bCs/>
          <w:rtl w:val="true"/>
        </w:rPr>
        <w:t>כך</w:t>
      </w:r>
      <w:r>
        <w:rPr>
          <w:rStyle w:val="ruller4-h1"/>
          <w:b/>
          <w:bCs/>
          <w:rtl w:val="true"/>
        </w:rPr>
        <w:t xml:space="preserve">, </w:t>
      </w:r>
      <w:r>
        <w:rPr>
          <w:rStyle w:val="ruller4-h1"/>
          <w:b/>
          <w:b/>
          <w:bCs/>
          <w:rtl w:val="true"/>
        </w:rPr>
        <w:t>למשל</w:t>
      </w:r>
      <w:r>
        <w:rPr>
          <w:rStyle w:val="ruller4-h1"/>
          <w:b/>
          <w:bCs/>
          <w:rtl w:val="true"/>
        </w:rPr>
        <w:t xml:space="preserve">, </w:t>
      </w:r>
      <w:r>
        <w:rPr>
          <w:rStyle w:val="ruller4-h1"/>
          <w:b/>
          <w:b/>
          <w:bCs/>
          <w:rtl w:val="true"/>
        </w:rPr>
        <w:t>קבעתי בהחלטתי ב</w:t>
      </w:r>
      <w:hyperlink r:id="rId8">
        <w:r>
          <w:rPr>
            <w:rStyle w:val="Hyperlink"/>
            <w:rFonts w:ascii="Arial TUR;Arial" w:hAnsi="Arial TUR;Arial" w:cs="Arial TUR;Arial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ascii="Arial TUR;Arial" w:hAnsi="Arial TUR;Arial" w:cs="Arial TUR;Arial"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ascii="Arial TUR;Arial" w:hAnsi="Arial TUR;Arial" w:cs="Arial TUR;Arial"/>
            <w:b/>
            <w:bCs/>
            <w:color w:val="0000FF"/>
            <w:spacing w:val="10"/>
            <w:sz w:val="22"/>
            <w:sz w:val="22"/>
            <w:szCs w:val="22"/>
            <w:u w:val="single"/>
          </w:rPr>
          <w:t>2718/04</w:t>
        </w:r>
      </w:hyperlink>
      <w:r>
        <w:rPr>
          <w:rStyle w:val="ruller4-h1"/>
          <w:b/>
          <w:bCs/>
          <w:rtl w:val="true"/>
        </w:rPr>
        <w:t xml:space="preserve"> </w:t>
      </w:r>
      <w:r>
        <w:rPr>
          <w:rStyle w:val="ruller4-h1"/>
          <w:b/>
          <w:b/>
          <w:bCs/>
          <w:rtl w:val="true"/>
        </w:rPr>
        <w:t>אבו דאחל נ</w:t>
      </w:r>
      <w:r>
        <w:rPr>
          <w:rStyle w:val="ruller4-h1"/>
          <w:b/>
          <w:bCs/>
          <w:rtl w:val="true"/>
        </w:rPr>
        <w:t>'</w:t>
      </w:r>
      <w:r>
        <w:rPr>
          <w:rStyle w:val="ruller4-h1"/>
          <w:rFonts w:cs="Times New Roman"/>
          <w:b/>
          <w:bCs/>
          <w:rtl w:val="true"/>
        </w:rPr>
        <w:t xml:space="preserve"> </w:t>
      </w:r>
      <w:r>
        <w:rPr>
          <w:rStyle w:val="ruller4-h1"/>
          <w:rFonts w:cs="Times New Roman"/>
          <w:b/>
          <w:b/>
          <w:bCs/>
          <w:rtl w:val="true"/>
        </w:rPr>
        <w:t>מדינת</w:t>
      </w:r>
      <w:r>
        <w:rPr>
          <w:rStyle w:val="ruller4-h1"/>
          <w:b/>
          <w:b/>
          <w:bCs/>
          <w:rtl w:val="true"/>
        </w:rPr>
        <w:t xml:space="preserve"> </w:t>
      </w:r>
      <w:r>
        <w:rPr>
          <w:rStyle w:val="ruller4-h1"/>
          <w:rFonts w:cs="Times New Roman"/>
          <w:b/>
          <w:b/>
          <w:bCs/>
          <w:rtl w:val="true"/>
        </w:rPr>
        <w:t>ישראל</w:t>
      </w:r>
      <w:r>
        <w:rPr>
          <w:rStyle w:val="ruller4-h1"/>
          <w:b/>
          <w:b/>
          <w:bCs/>
          <w:rtl w:val="true"/>
        </w:rPr>
        <w:t xml:space="preserve"> </w:t>
      </w:r>
      <w:r>
        <w:rPr>
          <w:rStyle w:val="ruller4-h1"/>
          <w:b/>
          <w:bCs/>
          <w:rtl w:val="true"/>
        </w:rPr>
        <w:t>(</w:t>
      </w:r>
      <w:r>
        <w:rPr>
          <w:rStyle w:val="ruller4-h1"/>
          <w:rFonts w:cs="Times New Roman"/>
          <w:b/>
          <w:b/>
          <w:bCs/>
          <w:rtl w:val="true"/>
        </w:rPr>
        <w:t>לא</w:t>
      </w:r>
      <w:r>
        <w:rPr>
          <w:rStyle w:val="ruller4-h1"/>
          <w:b/>
          <w:b/>
          <w:bCs/>
          <w:rtl w:val="true"/>
        </w:rPr>
        <w:t xml:space="preserve"> </w:t>
      </w:r>
      <w:r>
        <w:rPr>
          <w:rStyle w:val="ruller4-h1"/>
          <w:rFonts w:cs="Times New Roman"/>
          <w:b/>
          <w:b/>
          <w:bCs/>
          <w:rtl w:val="true"/>
        </w:rPr>
        <w:t>פורסם</w:t>
      </w:r>
      <w:r>
        <w:rPr>
          <w:rStyle w:val="ruller4-h1"/>
          <w:b/>
          <w:bCs/>
          <w:rtl w:val="true"/>
        </w:rPr>
        <w:t xml:space="preserve">): </w:t>
      </w:r>
      <w:r>
        <w:rPr>
          <w:rStyle w:val="normal-h-h"/>
          <w:rFonts w:cs="Arial TUR;Arial" w:ascii="Arial TUR;Arial" w:hAnsi="Arial TUR;Arial"/>
          <w:b/>
          <w:bCs/>
          <w:rtl w:val="true"/>
        </w:rPr>
        <w:t>"</w:t>
      </w:r>
      <w:r>
        <w:rPr>
          <w:rStyle w:val="normal-h-h"/>
          <w:rFonts w:ascii="Arial TUR;Arial" w:hAnsi="Arial TUR;Arial" w:cs="Arial TUR;Arial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Style w:val="normal-h-h"/>
          <w:rFonts w:cs="Arial TUR;Arial" w:ascii="Arial TUR;Arial" w:hAnsi="Arial TUR;Arial"/>
          <w:b/>
          <w:bCs/>
          <w:rtl w:val="true"/>
        </w:rPr>
        <w:t xml:space="preserve">. </w:t>
      </w:r>
      <w:r>
        <w:rPr>
          <w:rStyle w:val="normal-h-h"/>
          <w:rFonts w:ascii="Arial TUR;Arial" w:hAnsi="Arial TUR;Arial" w:cs="Arial TUR;Arial"/>
          <w:b/>
          <w:b/>
          <w:bCs/>
          <w:rtl w:val="true"/>
        </w:rPr>
        <w:t>בבוא בית</w:t>
      </w:r>
      <w:r>
        <w:rPr>
          <w:rStyle w:val="normal-h-h"/>
          <w:rFonts w:cs="Arial TUR;Arial" w:ascii="Arial TUR;Arial" w:hAnsi="Arial TUR;Arial"/>
          <w:b/>
          <w:bCs/>
          <w:rtl w:val="true"/>
        </w:rPr>
        <w:t>-</w:t>
      </w:r>
      <w:r>
        <w:rPr>
          <w:rStyle w:val="normal-h-h"/>
          <w:rFonts w:ascii="Arial TUR;Arial" w:hAnsi="Arial TUR;Arial" w:cs="Arial TUR;Arial"/>
          <w:b/>
          <w:b/>
          <w:bCs/>
          <w:rtl w:val="true"/>
        </w:rPr>
        <w:t>המשפט לשקול את הענישה בעבירות מסוג זה</w:t>
      </w:r>
      <w:r>
        <w:rPr>
          <w:rStyle w:val="normal-h-h"/>
          <w:rFonts w:cs="Arial TUR;Arial" w:ascii="Arial TUR;Arial" w:hAnsi="Arial TUR;Arial"/>
          <w:b/>
          <w:bCs/>
          <w:rtl w:val="true"/>
        </w:rPr>
        <w:t xml:space="preserve">, </w:t>
      </w:r>
      <w:r>
        <w:rPr>
          <w:rStyle w:val="normal-h-h"/>
          <w:rFonts w:ascii="Arial TUR;Arial" w:hAnsi="Arial TUR;Arial" w:cs="Arial TUR;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Style w:val="normal-h-h"/>
          <w:rFonts w:cs="Arial TUR;Arial" w:ascii="Arial TUR;Arial" w:hAnsi="Arial TUR;Arial"/>
          <w:b/>
          <w:bCs/>
          <w:rtl w:val="true"/>
        </w:rPr>
        <w:t xml:space="preserve">, </w:t>
      </w:r>
      <w:r>
        <w:rPr>
          <w:rStyle w:val="normal-h-h"/>
          <w:rFonts w:ascii="Arial TUR;Arial" w:hAnsi="Arial TUR;Arial" w:cs="Arial TUR;Arial"/>
          <w:b/>
          <w:b/>
          <w:bCs/>
          <w:rtl w:val="true"/>
        </w:rPr>
        <w:t>על פני הנסיבות האישיות של העבריין</w:t>
      </w:r>
      <w:r>
        <w:rPr>
          <w:rStyle w:val="normal-h-h"/>
          <w:rFonts w:cs="Arial TUR;Arial" w:ascii="Arial TUR;Arial" w:hAnsi="Arial TUR;Arial"/>
          <w:b/>
          <w:bCs/>
          <w:rtl w:val="true"/>
        </w:rPr>
        <w:t xml:space="preserve">.....". </w:t>
      </w:r>
    </w:p>
    <w:p>
      <w:pPr>
        <w:pStyle w:val="NoSpacing"/>
        <w:spacing w:lineRule="auto" w:line="360"/>
        <w:ind w:end="0"/>
        <w:jc w:val="both"/>
        <w:rPr/>
      </w:pPr>
      <w:r>
        <w:rPr>
          <w:rStyle w:val="normal-h-h"/>
          <w:rFonts w:eastAsia="Arial TUR;Arial" w:cs="Arial TUR;Arial" w:ascii="Arial TUR;Arial" w:hAnsi="Arial TUR;Arial"/>
          <w:b/>
          <w:bCs/>
          <w:rtl w:val="true"/>
        </w:rPr>
        <w:t xml:space="preserve"> </w:t>
      </w:r>
    </w:p>
    <w:p>
      <w:pPr>
        <w:pStyle w:val="NoSpacing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29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לאחרונה חזר בית המשפט העליון על עמדתו העונשית הנ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ל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גם בעבירות נשק שאינן ברום המדרג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כמו במקרה דנן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hyperlink r:id="rId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5681/14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טאטור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מיום </w:t>
      </w:r>
      <w:r>
        <w:rPr>
          <w:rFonts w:eastAsia="Times New Roman" w:cs="Times New Roman" w:ascii="Times New Roman" w:hAnsi="Times New Roman"/>
          <w:lang w:eastAsia="he-IL"/>
        </w:rPr>
        <w:t>01.2.2015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 </w:t>
      </w:r>
    </w:p>
    <w:p>
      <w:pPr>
        <w:pStyle w:val="NoSpacing"/>
        <w:spacing w:lineRule="auto" w:line="360"/>
        <w:ind w:end="0"/>
        <w:jc w:val="both"/>
        <w:rPr>
          <w:rFonts w:ascii="Times New Roman" w:hAnsi="Times New Roman" w:eastAsia="Calibri" w:cs="Times New Roman"/>
          <w:lang w:eastAsia="he-IL"/>
        </w:rPr>
      </w:pPr>
      <w:r>
        <w:rPr>
          <w:rFonts w:eastAsia="Calibri" w:cs="Times New Roman" w:ascii="Times New Roman" w:hAnsi="Times New Roman"/>
          <w:rtl w:val="true"/>
          <w:lang w:eastAsia="he-IL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אשר לרמת הענישה הנוהגת בעבירה מסוג זה אציין</w:t>
      </w:r>
      <w:r>
        <w:rPr>
          <w:rtl w:val="true"/>
        </w:rPr>
        <w:t xml:space="preserve">, </w:t>
      </w:r>
      <w:r>
        <w:rPr>
          <w:rtl w:val="true"/>
        </w:rPr>
        <w:t>כי שני הצדדים הגישו לעיוני פסיקה שונה המגלה לא מעט פערים בנוגע למדיניות הנוהגת בעבירות כגון אלו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ניתן להצביע על מספר מקרים בהם הוטלו על נאשמים מאסרים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גם כאשר מדובר היה בהחזקת אקדח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ניתן להצביע על מקרים אחרים בהם הוטלו מאסרים לתקופות שנעו בין </w:t>
      </w:r>
      <w:r>
        <w:rPr/>
        <w:t>10-16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NoSpacing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אביא להלן מקבץ של פסקי דין בנדון</w:t>
      </w:r>
      <w:r>
        <w:rPr>
          <w:rtl w:val="true"/>
        </w:rPr>
        <w:t>:</w:t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איסמעיל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25.10.2010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אשר החזיק ברכבו באקדח טעון ובתחמושת במצב נצור והוטלו עליו בבית המשפט המחוזי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על תנאי וקנס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העליון דחה את הערעור על חומרת העונש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hyperlink r:id="rId1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מחוזי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נצ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18510-10-14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  <w:lang w:eastAsia="he-IL"/>
        </w:rPr>
        <w:t>אחמד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cs="Times New Roman"/>
          <w:rtl w:val="true"/>
          <w:lang w:eastAsia="he-IL"/>
        </w:rPr>
        <w:t xml:space="preserve">מיום </w:t>
      </w:r>
      <w:r>
        <w:rPr>
          <w:rFonts w:cs="Times New Roman" w:ascii="Times New Roman" w:hAnsi="Times New Roman"/>
          <w:lang w:eastAsia="he-IL"/>
        </w:rPr>
        <w:t>3.3.2015</w:t>
      </w:r>
      <w:r>
        <w:rPr>
          <w:rFonts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cs="Times New Roman"/>
          <w:rtl w:val="true"/>
          <w:lang w:eastAsia="he-IL"/>
        </w:rPr>
        <w:t>מדובר היה בנאשם בעל שתי הרשעות קודמות בעבירות סמים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כתב האישום בעניינו כלל שני אירועים שאחד מהם התייחס להחזקת אקדח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מחסנית ובה כדורים תואמים וברימון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ואילו האירוע השני התייחס לעבירת סמים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בית המשפט קבע כי מתחם העונש ההולם בגין עבירות הנשק נע בין </w:t>
      </w: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עבודות שירות ל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cs="Times New Roman" w:ascii="Times New Roman" w:hAnsi="Times New Roman"/>
          <w:lang w:eastAsia="he-IL"/>
        </w:rPr>
        <w:t>18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ובסופו של דבר גזר עליו בגין האירוע המתייחס לעבירות הנשק </w:t>
      </w:r>
      <w:r>
        <w:rPr>
          <w:rFonts w:cs="Times New Roman" w:ascii="Times New Roman" w:hAnsi="Times New Roman"/>
          <w:lang w:eastAsia="he-IL"/>
        </w:rPr>
        <w:t>10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 מאסר בפועל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tl w:val="true"/>
        </w:rPr>
        <w:t xml:space="preserve">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</w:rPr>
          <w:t>5576-05-12</w:t>
        </w:r>
      </w:hyperlink>
      <w:r>
        <w:rPr>
          <w:rtl w:val="true"/>
        </w:rPr>
        <w:t xml:space="preserve"> (</w:t>
      </w:r>
      <w:r>
        <w:rPr>
          <w:rtl w:val="true"/>
        </w:rPr>
        <w:t>שלום חדרה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מברצקי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12.11.2012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שהורשע בהחזקת אקדח מסוג ברטה לאחר שרכש אותו מאחר כמו כן נמצא הנאשם מחזיק שתי מחסניות תואמות המכילות בתוכן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תואמים בכל אחת מהמחסניות</w:t>
      </w:r>
      <w:r>
        <w:rPr>
          <w:rtl w:val="true"/>
        </w:rPr>
        <w:t xml:space="preserve">, </w:t>
      </w:r>
      <w:r>
        <w:rPr>
          <w:rtl w:val="true"/>
        </w:rPr>
        <w:t>וקופסאות שהכילו עשרות כדורים ותרמילים מסוגים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גזר על הנאשם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5.10.2011</w:t>
      </w:r>
      <w:r>
        <w:rPr>
          <w:rtl w:val="true"/>
        </w:rPr>
        <w:t xml:space="preserve">), </w:t>
      </w:r>
      <w:r>
        <w:rPr>
          <w:rtl w:val="true"/>
        </w:rPr>
        <w:t>בית המשפט העליון דחה ערעור על פס</w:t>
      </w:r>
      <w:r>
        <w:rPr>
          <w:rtl w:val="true"/>
        </w:rPr>
        <w:t>"</w:t>
      </w:r>
      <w:r>
        <w:rPr>
          <w:rtl w:val="true"/>
        </w:rPr>
        <w:t xml:space="preserve">ד בו השית בית המשפט המחוזי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בגין עבירות של החזקת נשק ותחמושת לאחר שנתפסו אצל הנאשם בחיפוש בביתו אקדח מסוג ברטה ומחסנית לאקדח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 המשפט העליון הוסיף</w:t>
      </w:r>
      <w:r>
        <w:rPr>
          <w:rtl w:val="true"/>
        </w:rPr>
        <w:t xml:space="preserve">, </w:t>
      </w:r>
      <w:r>
        <w:rPr>
          <w:rtl w:val="true"/>
        </w:rPr>
        <w:t>כי אף אם האקדח שנתפס לא היה תקין</w:t>
      </w:r>
      <w:r>
        <w:rPr>
          <w:rtl w:val="true"/>
        </w:rPr>
        <w:t xml:space="preserve">, </w:t>
      </w:r>
      <w:r>
        <w:rPr>
          <w:rtl w:val="true"/>
        </w:rPr>
        <w:t>אין בכך כדי למזער את המסוכנות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11205-01-12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רישאת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9.5.2012</w:t>
      </w:r>
      <w:r>
        <w:rPr>
          <w:rtl w:val="true"/>
        </w:rPr>
        <w:t xml:space="preserve">), </w:t>
      </w:r>
      <w:r>
        <w:rPr>
          <w:rtl w:val="true"/>
        </w:rPr>
        <w:t>מדובר היה בנאשם אשר הורשע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 xml:space="preserve">בהחזקת נשק ברכב </w:t>
      </w:r>
      <w:r>
        <w:rPr>
          <w:rtl w:val="true"/>
        </w:rPr>
        <w:t>(</w:t>
      </w:r>
      <w:r>
        <w:rPr>
          <w:rtl w:val="true"/>
        </w:rPr>
        <w:t>אקדח ושתי מחסניות עם כדורים</w:t>
      </w:r>
      <w:r>
        <w:rPr>
          <w:rtl w:val="true"/>
        </w:rPr>
        <w:t xml:space="preserve">) </w:t>
      </w:r>
      <w:r>
        <w:rPr>
          <w:rtl w:val="true"/>
        </w:rPr>
        <w:t>וכן החזקת סכין</w:t>
      </w:r>
      <w:r>
        <w:rPr>
          <w:rtl w:val="true"/>
        </w:rPr>
        <w:t xml:space="preserve">. </w:t>
      </w:r>
      <w:r>
        <w:rPr>
          <w:rtl w:val="true"/>
        </w:rPr>
        <w:t xml:space="preserve">העונש שהוטל על הנאשם עמד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6532-03-14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רעד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3.7.2014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צעיר בעל הרשעה קודמת אחת אשר הורשע בהחזקת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רימוני הלם</w:t>
      </w:r>
      <w:r>
        <w:rPr>
          <w:rtl w:val="true"/>
        </w:rPr>
        <w:t xml:space="preserve">, </w:t>
      </w:r>
      <w:r>
        <w:rPr>
          <w:rtl w:val="true"/>
        </w:rPr>
        <w:t>מספר מחסניות וכמות גדולה של כדורים מסוגים שונים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גזר עליו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אקרמן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1.3.2011</w:t>
      </w:r>
      <w:r>
        <w:rPr>
          <w:rtl w:val="true"/>
        </w:rPr>
        <w:t xml:space="preserve">), </w:t>
      </w:r>
      <w:r>
        <w:rPr>
          <w:rtl w:val="true"/>
        </w:rPr>
        <w:t>המתייחס לנאשם אשר החזיק לבנת חבלה המכילה כ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גרם חומר נפץ מרסק ואצבע חבלה המכילה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 חומר נפץ מרסק</w:t>
      </w:r>
      <w:r>
        <w:rPr>
          <w:rtl w:val="true"/>
        </w:rPr>
        <w:t xml:space="preserve">, </w:t>
      </w:r>
      <w:r>
        <w:rPr>
          <w:rtl w:val="true"/>
        </w:rPr>
        <w:t>ובהמשך מסר את חומרי החבלה לאחר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הטיל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אולם בית המשפט העליון</w:t>
      </w:r>
      <w:r>
        <w:rPr>
          <w:rtl w:val="true"/>
        </w:rPr>
        <w:t xml:space="preserve">, </w:t>
      </w:r>
      <w:r>
        <w:rPr>
          <w:rtl w:val="true"/>
        </w:rPr>
        <w:t>נוכח 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החליט להקל בעונש ולהעמידו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4318-10-11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רפאילוב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5.1.2012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אשר החזיק בביתו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לבנות חבלה</w:t>
      </w:r>
      <w:r>
        <w:rPr>
          <w:rtl w:val="true"/>
        </w:rPr>
        <w:t xml:space="preserve">,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גרם כל אחת</w:t>
      </w:r>
      <w:r>
        <w:rPr>
          <w:rtl w:val="true"/>
        </w:rPr>
        <w:t xml:space="preserve">, </w:t>
      </w:r>
      <w:r>
        <w:rPr>
          <w:rtl w:val="true"/>
        </w:rPr>
        <w:t xml:space="preserve">המכילות חומר נפץ מסוג </w:t>
      </w:r>
      <w:r>
        <w:rPr/>
        <w:t>T.N.T</w:t>
      </w:r>
      <w:r>
        <w:rPr>
          <w:rtl w:val="true"/>
        </w:rPr>
        <w:t xml:space="preserve">, </w:t>
      </w:r>
      <w:r>
        <w:rPr>
          <w:rtl w:val="true"/>
        </w:rPr>
        <w:t>רימון יד עשן כחול</w:t>
      </w:r>
      <w:r>
        <w:rPr>
          <w:rtl w:val="true"/>
        </w:rPr>
        <w:t xml:space="preserve">, </w:t>
      </w:r>
      <w:r>
        <w:rPr>
          <w:rtl w:val="true"/>
        </w:rPr>
        <w:t>ורימון יד מדוכה גז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את ערעור המדינה על קולת העונש והותיר על כנו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6059-02-12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גהגאה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19.4.2012</w:t>
      </w:r>
      <w:r>
        <w:rPr>
          <w:rtl w:val="true"/>
        </w:rPr>
        <w:t xml:space="preserve">), </w:t>
      </w:r>
      <w:r>
        <w:rPr>
          <w:rtl w:val="true"/>
        </w:rPr>
        <w:t>מדובר היה בנאשם אשר החזיק בנשק ושתי מחסניות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חלקית את ערעור המדינה על קולת העונש והותיר על כנו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אך החמיר ברכיב המאסר המותנה וברכיב הקנס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Times New Roman" w:ascii="Times New Roman" w:hAnsi="Times New Roman"/>
          <w:lang w:eastAsia="he-IL"/>
        </w:rPr>
        <w:t>32</w:t>
      </w:r>
      <w:r>
        <w:rPr>
          <w:rFonts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cs="Times New Roman"/>
          <w:rtl w:val="true"/>
          <w:lang w:eastAsia="he-IL"/>
        </w:rPr>
        <w:t xml:space="preserve">אשר לנסיבות הקשורות בביצוע העבירה </w:t>
      </w:r>
      <w:r>
        <w:rPr>
          <w:rFonts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cs="Times New Roman"/>
          <w:rtl w:val="true"/>
          <w:lang w:eastAsia="he-IL"/>
        </w:rPr>
        <w:t>בכתב האישום אין פרטים אודות משך הזמן בו החזיק הנאשם בנשק ובתחמושת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הכיצד הגיעו לידיו ומהו המניע שעמד מאחורי 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כמו כן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tl w:val="true"/>
        </w:rPr>
        <w:t>כתב האישום אינו מייחס לנאשם כוונה לעשות שימוש באמל</w:t>
      </w:r>
      <w:r>
        <w:rPr>
          <w:rtl w:val="true"/>
        </w:rPr>
        <w:t>"</w:t>
      </w:r>
      <w:r>
        <w:rPr>
          <w:rtl w:val="true"/>
        </w:rPr>
        <w:t>ח שנתפס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לי אלא לתהות</w:t>
      </w:r>
      <w:r>
        <w:rPr>
          <w:rtl w:val="true"/>
        </w:rPr>
        <w:t xml:space="preserve">, </w:t>
      </w:r>
      <w:r>
        <w:rPr>
          <w:rtl w:val="true"/>
        </w:rPr>
        <w:t>האם כוונות תמימות עומדות ביסוד מעשה מסוג זה</w:t>
      </w:r>
      <w:r>
        <w:rPr>
          <w:rtl w:val="true"/>
        </w:rPr>
        <w:t xml:space="preserve">? </w:t>
      </w:r>
      <w:r>
        <w:rPr>
          <w:rtl w:val="true"/>
        </w:rPr>
        <w:t>האם אדם נורמטיבי שיודע להבדיל בין טוב לרע</w:t>
      </w:r>
      <w:r>
        <w:rPr>
          <w:rtl w:val="true"/>
        </w:rPr>
        <w:t xml:space="preserve">, </w:t>
      </w:r>
      <w:r>
        <w:rPr>
          <w:rtl w:val="true"/>
        </w:rPr>
        <w:t>היה טורח להחזיק בכל כמויות האמל</w:t>
      </w:r>
      <w:r>
        <w:rPr>
          <w:rtl w:val="true"/>
        </w:rPr>
        <w:t>"</w:t>
      </w:r>
      <w:r>
        <w:rPr>
          <w:rtl w:val="true"/>
        </w:rPr>
        <w:t>ח נשוא כתב האישום ולהסתיר אותם במקום מסתור כך לשם שמיים וללא סיבה</w:t>
      </w:r>
      <w:r>
        <w:rPr>
          <w:rtl w:val="true"/>
        </w:rPr>
        <w:t>?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דומני כי התשובה גלומה בעצם התהייה העולה מהשאלה</w:t>
      </w:r>
      <w:r>
        <w:rPr>
          <w:rtl w:val="true"/>
        </w:rPr>
        <w:t xml:space="preserve">. </w:t>
      </w:r>
    </w:p>
    <w:p>
      <w:pPr>
        <w:pStyle w:val="NoSpacing"/>
        <w:ind w:end="0"/>
        <w:jc w:val="start"/>
        <w:rPr>
          <w:rFonts w:ascii="Times New Roman" w:hAnsi="Times New Roman" w:cs="Arial"/>
          <w:sz w:val="22"/>
          <w:szCs w:val="22"/>
          <w:lang w:eastAsia="he-IL"/>
        </w:rPr>
      </w:pPr>
      <w:r>
        <w:rPr>
          <w:rFonts w:cs="Arial" w:ascii="Times New Roman" w:hAnsi="Times New Roman"/>
          <w:sz w:val="22"/>
          <w:szCs w:val="22"/>
          <w:rtl w:val="true"/>
          <w:lang w:eastAsia="he-IL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בשים לב למכלול הנתונים</w:t>
      </w:r>
      <w:r>
        <w:rPr>
          <w:rtl w:val="true"/>
        </w:rPr>
        <w:t xml:space="preserve">, </w:t>
      </w:r>
      <w:r>
        <w:rPr>
          <w:rtl w:val="true"/>
        </w:rPr>
        <w:t>לרבות כמויות הנשק</w:t>
      </w:r>
      <w:r>
        <w:rPr>
          <w:rtl w:val="true"/>
        </w:rPr>
        <w:t xml:space="preserve">, </w:t>
      </w:r>
      <w:r>
        <w:rPr>
          <w:rtl w:val="true"/>
        </w:rPr>
        <w:t>פוטנציאל הנזק והפסיקה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שמתחם העונש ההולם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רכיבי ענישה נלווים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אעבור כעת לבחינת הנסיבות שאינן קשורות בביצוע העבירה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כפי שצוין מקודם</w:t>
      </w:r>
      <w:r>
        <w:rPr>
          <w:rtl w:val="true"/>
        </w:rPr>
        <w:t xml:space="preserve">, </w:t>
      </w:r>
      <w:r>
        <w:rPr>
          <w:rtl w:val="true"/>
        </w:rPr>
        <w:t>הנאשם הוא בחור צעיר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ונעדר כל עבר פלילי</w:t>
      </w:r>
      <w:r>
        <w:rPr>
          <w:rtl w:val="true"/>
        </w:rPr>
        <w:t xml:space="preserve">. </w:t>
      </w:r>
      <w:r>
        <w:rPr>
          <w:rtl w:val="true"/>
        </w:rPr>
        <w:t>הנאשם עובד מגיל צעיר ומסייע בפרנסת המשפחה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הנאשם הודה במיוחס לו עוד בשלבי החקירה במשטרה</w:t>
      </w:r>
      <w:r>
        <w:rPr>
          <w:rtl w:val="true"/>
        </w:rPr>
        <w:t xml:space="preserve">, </w:t>
      </w:r>
      <w:r>
        <w:rPr>
          <w:rtl w:val="true"/>
        </w:rPr>
        <w:t>ובכך חסך זמן שיפוטי יקר</w:t>
      </w:r>
      <w:r>
        <w:rPr>
          <w:rtl w:val="true"/>
        </w:rPr>
        <w:t xml:space="preserve">. </w:t>
      </w:r>
      <w:r>
        <w:rPr>
          <w:rtl w:val="true"/>
        </w:rPr>
        <w:t>זה המקום לציין</w:t>
      </w:r>
      <w:r>
        <w:rPr>
          <w:rtl w:val="true"/>
        </w:rPr>
        <w:t xml:space="preserve">, </w:t>
      </w:r>
      <w:r>
        <w:rPr>
          <w:rtl w:val="true"/>
        </w:rPr>
        <w:t>כי הנאשם הוא זה שמסר מיוזמתו פרטים למשטרה אודות הנשק</w:t>
      </w:r>
      <w:r>
        <w:rPr>
          <w:rtl w:val="true"/>
        </w:rPr>
        <w:t xml:space="preserve">, </w:t>
      </w:r>
      <w:r>
        <w:rPr>
          <w:rtl w:val="true"/>
        </w:rPr>
        <w:t>הרימון והכדורים שנתפסו בשטח החקלאי</w:t>
      </w:r>
      <w:r>
        <w:rPr>
          <w:rtl w:val="true"/>
        </w:rPr>
        <w:t xml:space="preserve">, </w:t>
      </w:r>
      <w:r>
        <w:rPr>
          <w:rtl w:val="true"/>
        </w:rPr>
        <w:t>וברי כי סייע בכך לגילויים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 להתעלם ממסקנות שירות המבחן והתרשמותו לגבי האחריות המוגבלת שהנאשם נטל על עצמו בגין מעשיו</w:t>
      </w:r>
      <w:r>
        <w:rPr>
          <w:rtl w:val="true"/>
        </w:rPr>
        <w:t xml:space="preserve">, </w:t>
      </w:r>
      <w:r>
        <w:rPr>
          <w:rtl w:val="true"/>
        </w:rPr>
        <w:t>וזאת לנוכח הודאתו הפורמאלית וטענתו כי מישהו אחר מהמשפחה ניסה להפלילו בעבירות שבנדון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39</w:t>
      </w:r>
      <w:r>
        <w:rPr>
          <w:rFonts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cs="Times New Roman"/>
          <w:rtl w:val="true"/>
          <w:lang w:eastAsia="he-IL"/>
        </w:rPr>
        <w:t>שירות המבחן התרשם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הנאשם נמנע מקבלת אחריות אישית בנוגע לעבירות ותוצאותיהן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ומתקשה לראות את החומרה שבמצבו בכלל ובעבירות בהן הורשע בפרט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לכך אוסיף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כי שירות המבחן התרשם מקיומם של קווי אישיות תוקפניים אצל הנאשם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לצד שימוש מרובה במנגנוני הדחקה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40</w:t>
      </w:r>
      <w:r>
        <w:rPr>
          <w:rFonts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cs="Times New Roman"/>
          <w:rtl w:val="true"/>
          <w:lang w:eastAsia="he-IL"/>
        </w:rPr>
        <w:t>לאור זאת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שירות המבחן העריך כי הסיכון להישנות מעשים עוברי חוק בעתיד הוא ברמה בינונית</w:t>
      </w:r>
      <w:r>
        <w:rPr>
          <w:rFonts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cs="Times New Roman"/>
          <w:rtl w:val="true"/>
          <w:lang w:eastAsia="he-IL"/>
        </w:rPr>
        <w:t>גבוהה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lang w:eastAsia="he-IL"/>
        </w:rPr>
        <w:t>41</w:t>
      </w:r>
      <w:r>
        <w:rPr>
          <w:rFonts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cs="Times New Roman"/>
          <w:rtl w:val="true"/>
          <w:lang w:eastAsia="he-IL"/>
        </w:rPr>
        <w:t>להערכת שירות המבחן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הנאשם אינו פנוי להתבוננות ביקורתית במעשיו ומאחר שאינו נוטל אחריות פעילה בנוגע לביצוע העבירות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לא נפתח פתח לבחינתם של אפיקים שיקומיים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לאור זאת נמנע שירות המבחן מהמלצה טיפולית בעניינו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 w:ascii="Times New Roman" w:hAnsi="Times New Roman"/>
          <w:rtl w:val="true"/>
          <w:lang w:eastAsia="he-IL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לקחתי בחשבון</w:t>
      </w:r>
      <w:r>
        <w:rPr>
          <w:rtl w:val="true"/>
        </w:rPr>
        <w:t xml:space="preserve">, </w:t>
      </w:r>
      <w:r>
        <w:rPr>
          <w:rtl w:val="true"/>
        </w:rPr>
        <w:t>אם כי במידה מוגבלת בלבד</w:t>
      </w:r>
      <w:r>
        <w:rPr>
          <w:rtl w:val="true"/>
        </w:rPr>
        <w:t xml:space="preserve">, </w:t>
      </w:r>
      <w:r>
        <w:rPr>
          <w:rtl w:val="true"/>
        </w:rPr>
        <w:t>את נסיבותיו האישיות של הנאשם והנסיבות המיוחדות של משפחתו לאור העובדה כי טרם מעצרו הוא תרם באופן משמעותי לכלכלת המשפחה והיה למעשה המפרנס העיקרי שלה</w:t>
      </w:r>
      <w:r>
        <w:rPr>
          <w:rtl w:val="true"/>
        </w:rPr>
        <w:t xml:space="preserve">, </w:t>
      </w:r>
      <w:r>
        <w:rPr>
          <w:rtl w:val="true"/>
        </w:rPr>
        <w:t>ולאור כך שאביו נפגע לאחרונה באורח קשה וכיום אף מאושפז בבית חולים</w:t>
      </w:r>
      <w:r>
        <w:rPr>
          <w:rtl w:val="true"/>
        </w:rPr>
        <w:t xml:space="preserve">, </w:t>
      </w:r>
      <w:r>
        <w:rPr>
          <w:rtl w:val="true"/>
        </w:rPr>
        <w:t>באופן שמדגיש אף ביתר שאת את חסרונו של הנאשם כאחד המפרנסים של המשפחה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ציינתי כי נסיבותיו האישיות של הנאשם נשקלו באופן מוגבל משום שברור כי השיקול האישי נסוג מפני השיקול הציבורי</w:t>
      </w:r>
      <w:r>
        <w:rPr>
          <w:rtl w:val="true"/>
        </w:rPr>
        <w:t xml:space="preserve">, </w:t>
      </w:r>
      <w:r>
        <w:rPr>
          <w:rtl w:val="true"/>
        </w:rPr>
        <w:t>כפי שצוין מקודם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על יסוד כל המפורט לעיל</w:t>
      </w:r>
      <w:r>
        <w:rPr>
          <w:rtl w:val="true"/>
        </w:rPr>
        <w:t xml:space="preserve">, </w:t>
      </w:r>
      <w:r>
        <w:rPr>
          <w:rtl w:val="true"/>
        </w:rPr>
        <w:t>אני מוצאת כי העונש המתאים במקרה דנן נוטה לעמוד על אמצע המתחם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מיום מעצרו בתאריך </w:t>
      </w:r>
      <w:r>
        <w:rPr/>
        <w:t>23.8.2015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במשך שלוש שנים והתנאי הוא כי הנאשם לא יבצע בתקופה זו עבירת נשק ויורשע בגינה</w:t>
      </w:r>
      <w:r>
        <w:rPr>
          <w:rtl w:val="true"/>
        </w:rPr>
        <w:t>.</w:t>
      </w:r>
    </w:p>
    <w:p>
      <w:pPr>
        <w:pStyle w:val="NoSpacing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בסכום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 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1.9.16</w:t>
      </w:r>
      <w:r>
        <w:rPr>
          <w:rtl w:val="true"/>
        </w:rPr>
        <w:t xml:space="preserve"> 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עוקב</w:t>
      </w:r>
      <w:r>
        <w:rPr>
          <w:rtl w:val="true"/>
        </w:rPr>
        <w:t xml:space="preserve">, </w:t>
      </w:r>
      <w:r>
        <w:rPr>
          <w:rtl w:val="true"/>
        </w:rPr>
        <w:t>אי עמידה באחד התשלומים תביא לפירעון מידי של יתרת הקנס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אני מורה על חילוט המוצגים התפוסים לטובת המדינה או לפי כל החלטה שתינתן ע</w:t>
      </w:r>
      <w:r>
        <w:rPr>
          <w:rtl w:val="true"/>
        </w:rPr>
        <w:t>"</w:t>
      </w:r>
      <w:r>
        <w:rPr>
          <w:rtl w:val="true"/>
        </w:rPr>
        <w:t>י קצין משטרה ובהתאם לשיקול דעתו</w:t>
      </w:r>
      <w:r>
        <w:rPr>
          <w:rtl w:val="true"/>
        </w:rPr>
        <w:t>.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Spacing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ני טנוס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ני טנוס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7166-09-15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נעמה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/>
  </w:style>
  <w:style w:type="character" w:styleId="ruller4-h1">
    <w:name w:val="ruller4-h1"/>
    <w:qFormat/>
    <w:rPr>
      <w:rFonts w:ascii="Arial TUR;Arial" w:hAnsi="Arial TUR;Arial" w:cs="Arial TUR;Arial"/>
      <w:spacing w:val="10"/>
      <w:sz w:val="22"/>
      <w:szCs w:val="22"/>
    </w:rPr>
  </w:style>
  <w:style w:type="character" w:styleId="normal-h-h">
    <w:name w:val="normal-h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58231" TargetMode="External"/><Relationship Id="rId7" Type="http://schemas.openxmlformats.org/officeDocument/2006/relationships/hyperlink" Target="http://www.nevo.co.il/case/6072945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17954222" TargetMode="External"/><Relationship Id="rId10" Type="http://schemas.openxmlformats.org/officeDocument/2006/relationships/hyperlink" Target="http://www.nevo.co.il/case/5950172" TargetMode="External"/><Relationship Id="rId11" Type="http://schemas.openxmlformats.org/officeDocument/2006/relationships/hyperlink" Target="http://www.nevo.co.il/case/18090902" TargetMode="External"/><Relationship Id="rId12" Type="http://schemas.openxmlformats.org/officeDocument/2006/relationships/hyperlink" Target="http://www.nevo.co.il/case/4338062" TargetMode="External"/><Relationship Id="rId13" Type="http://schemas.openxmlformats.org/officeDocument/2006/relationships/hyperlink" Target="http://www.nevo.co.il/case/6024035" TargetMode="External"/><Relationship Id="rId14" Type="http://schemas.openxmlformats.org/officeDocument/2006/relationships/hyperlink" Target="http://www.nevo.co.il/case/4234303" TargetMode="External"/><Relationship Id="rId15" Type="http://schemas.openxmlformats.org/officeDocument/2006/relationships/hyperlink" Target="http://www.nevo.co.il/case/13030651" TargetMode="External"/><Relationship Id="rId16" Type="http://schemas.openxmlformats.org/officeDocument/2006/relationships/hyperlink" Target="http://www.nevo.co.il/case/5678001" TargetMode="External"/><Relationship Id="rId17" Type="http://schemas.openxmlformats.org/officeDocument/2006/relationships/hyperlink" Target="http://www.nevo.co.il/case/2894643" TargetMode="External"/><Relationship Id="rId18" Type="http://schemas.openxmlformats.org/officeDocument/2006/relationships/hyperlink" Target="http://www.nevo.co.il/case/4258499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2017-05-07T14:11:00Z</dcterms:created>
  <dc:creator> </dc:creator>
  <dc:description/>
  <cp:keywords/>
  <dc:language>en-IL</dc:language>
  <cp:lastModifiedBy>run</cp:lastModifiedBy>
  <dcterms:modified xsi:type="dcterms:W3CDTF">2017-05-07T14:11:00Z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נעמה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5958231;6072945;5852404;17954222;5950172;18090902;4338062;6024035;4234303;13030651;5678001;2894643;4258499</vt:lpwstr>
  </property>
  <property fmtid="{D5CDD505-2E9C-101B-9397-08002B2CF9AE}" pid="9" name="CITY">
    <vt:lpwstr>עכו</vt:lpwstr>
  </property>
  <property fmtid="{D5CDD505-2E9C-101B-9397-08002B2CF9AE}" pid="10" name="DATE">
    <vt:lpwstr>20160218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ג'ני טנוס</vt:lpwstr>
  </property>
  <property fmtid="{D5CDD505-2E9C-101B-9397-08002B2CF9AE}" pid="14" name="LAWLISTTMP1">
    <vt:lpwstr>70301/144.a</vt:lpwstr>
  </property>
  <property fmtid="{D5CDD505-2E9C-101B-9397-08002B2CF9AE}" pid="15" name="LAWYER">
    <vt:lpwstr>דוד יזרעאלי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7166</vt:lpwstr>
  </property>
  <property fmtid="{D5CDD505-2E9C-101B-9397-08002B2CF9AE}" pid="22" name="NEWPARTB">
    <vt:lpwstr>09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380020160218</vt:lpwstr>
  </property>
  <property fmtid="{D5CDD505-2E9C-101B-9397-08002B2CF9AE}" pid="34" name="TYPE_N_DATE">
    <vt:lpwstr>38020160218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