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78"/>
        <w:gridCol w:w="212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378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72146-11-20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12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96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מהדי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ריאן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3" w:name="FirstLawyer"/>
      <w:r>
        <w:rPr>
          <w:rtl w:val="true"/>
        </w:rPr>
        <w:t>בשם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פסקל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מיכאל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כרמל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זיאד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ריאן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sz w:val="26"/>
          <w:sz w:val="26"/>
          <w:szCs w:val="26"/>
          <w:rtl w:val="true"/>
        </w:rPr>
        <w:t>הנאשם הודה במסגרת הסדר טיעון שלא כלל הסדר אודות העונש בעבירות הבאות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עבירות בנשק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נשיאה והובלה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רישא </w:t>
      </w:r>
      <w:r>
        <w:rPr>
          <w:rFonts w:cs="David" w:ascii="David" w:hAnsi="David"/>
          <w:sz w:val="26"/>
          <w:szCs w:val="26"/>
          <w:rtl w:val="true"/>
        </w:rPr>
        <w:t xml:space="preserve">+ </w:t>
      </w:r>
      <w:r>
        <w:rPr>
          <w:rFonts w:ascii="David" w:hAnsi="David"/>
          <w:sz w:val="26"/>
          <w:sz w:val="26"/>
          <w:szCs w:val="26"/>
          <w:rtl w:val="true"/>
        </w:rPr>
        <w:t xml:space="preserve">סיפא </w:t>
      </w:r>
      <w:r>
        <w:rPr>
          <w:rFonts w:cs="David" w:ascii="David" w:hAnsi="David"/>
          <w:sz w:val="26"/>
          <w:szCs w:val="26"/>
          <w:rtl w:val="true"/>
        </w:rPr>
        <w:t xml:space="preserve">+ </w:t>
      </w:r>
      <w:r>
        <w:rPr>
          <w:rFonts w:ascii="David" w:hAnsi="David"/>
          <w:sz w:val="26"/>
          <w:sz w:val="26"/>
          <w:szCs w:val="26"/>
          <w:rtl w:val="true"/>
        </w:rPr>
        <w:t xml:space="preserve">סעיף </w:t>
      </w:r>
      <w:hyperlink r:id="rId12">
        <w:r>
          <w:rPr>
            <w:rStyle w:val="Hyperlink"/>
            <w:rFonts w:cs="David" w:ascii="David" w:hAnsi="David"/>
            <w:sz w:val="26"/>
            <w:szCs w:val="26"/>
          </w:rPr>
          <w:t>29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חוק העונשין</w:t>
      </w:r>
      <w:r>
        <w:rPr>
          <w:rFonts w:cs="David" w:ascii="David" w:hAnsi="David"/>
          <w:sz w:val="26"/>
          <w:szCs w:val="26"/>
          <w:rtl w:val="true"/>
        </w:rPr>
        <w:t xml:space="preserve">"); </w:t>
      </w:r>
      <w:r>
        <w:rPr>
          <w:rFonts w:ascii="David" w:hAnsi="David"/>
          <w:sz w:val="26"/>
          <w:sz w:val="26"/>
          <w:szCs w:val="26"/>
          <w:rtl w:val="true"/>
        </w:rPr>
        <w:t xml:space="preserve">ניסיון לחבלה חמורה בנסיבות מחמירות לפי </w:t>
      </w:r>
      <w:hyperlink r:id="rId14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333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+ </w:t>
      </w:r>
      <w:hyperlink r:id="rId15">
        <w:r>
          <w:rPr>
            <w:rStyle w:val="Hyperlink"/>
            <w:rFonts w:cs="David" w:ascii="David" w:hAnsi="David"/>
            <w:sz w:val="26"/>
            <w:szCs w:val="26"/>
          </w:rPr>
          <w:t>335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+ </w:t>
      </w:r>
      <w:r>
        <w:rPr>
          <w:rFonts w:ascii="David" w:hAnsi="David"/>
          <w:sz w:val="26"/>
          <w:sz w:val="26"/>
          <w:szCs w:val="26"/>
          <w:rtl w:val="true"/>
        </w:rPr>
        <w:t xml:space="preserve">סעיף </w:t>
      </w:r>
      <w:hyperlink r:id="rId16">
        <w:r>
          <w:rPr>
            <w:rStyle w:val="Hyperlink"/>
            <w:rFonts w:cs="David" w:ascii="David" w:hAnsi="David"/>
            <w:sz w:val="26"/>
            <w:szCs w:val="26"/>
          </w:rPr>
          <w:t>25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 העונשין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שיבוש מהלכי משפט לפי </w:t>
      </w:r>
      <w:hyperlink r:id="rId1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244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לחוק העונשין והפרעה לשוטר בשעת מילוי תפקידו לפי </w:t>
      </w:r>
      <w:hyperlink r:id="rId18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275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 העונשין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על פי 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העבירות בוצעו על רקע סכסוך בין משפחת הנאשם למשפחת עכרייה בכפר כאבול בתקופה הרלוונטית לכתב האישום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14.11.20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בסמוך לשעה </w:t>
      </w:r>
      <w:r>
        <w:rPr>
          <w:rFonts w:cs="David" w:ascii="David" w:hAnsi="David"/>
          <w:sz w:val="26"/>
          <w:szCs w:val="26"/>
        </w:rPr>
        <w:t>00:30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בזמן שהמתלונן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 xml:space="preserve">אחד מבני משפחת עכרייה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/>
          <w:sz w:val="26"/>
          <w:sz w:val="26"/>
          <w:szCs w:val="26"/>
          <w:rtl w:val="true"/>
        </w:rPr>
        <w:t>ישב עם בני משפחתו על גג ביתו בכאבול הגיעו הנאשם ואחר בסמוך לבניין כשהם נושאים אקדח חצי אוטומטי מסוג זיג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זאואר ובתוכו מחסנית טעונה בכדורים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והאחר עמדו מול בניין המשפחה וירו לעברו 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קליעים שחלקם פגעו בבית וקליע אחד חדר לתוך חדר השירותים בבית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בזמן שאשתו של המתלונן שהתה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לאחר הירי עזבו הנאשם והאחר את המקום כשהנאשם נושא על גופו את האקדח והלכו לכיוון ביתו של אנואר ריאן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בדרך נתקלו ברכב סיור של שני שוטרים שהגיעו לאזור בעקבות קולות הירי והבחינו בנאשם ובמספר אנשים נוספים שהיו ברחוב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פתח בריצה ואחד השוטרים רדף אחריו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השליך את האקדח על מנת למנוע את מציאתו ותפיסתו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האקדח נתפס זמן קצר לאחר מכן בתוך חצר בית בסמוך לנאשם על ידי אחד השוטרים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 המדינה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המדינה הדגישה את חומרת עבירות הנשק והצורך להשית בגינן ענישה מחמירה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1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4038/14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מהראן אבו עאבד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</w:rPr>
        <w:t>15.7.14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hyperlink r:id="rId2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2368/11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מאל נפאע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4.12.11</w:t>
      </w:r>
      <w:r>
        <w:rPr>
          <w:rFonts w:cs="David" w:ascii="David" w:hAnsi="David"/>
          <w:sz w:val="26"/>
          <w:szCs w:val="26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נטען עוד שקיימת מגמת החמרה בענישה נוכח התפשטות תופעת החזקת הנשק הבלתי חוקי בחברה בכלל ובמגזר הערבי בפרט ונוכח העליה במקרי האלימות המבוצעים באמצעות נשק בלתי חוקי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2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4439/19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5.11.19</w:t>
      </w:r>
      <w:r>
        <w:rPr>
          <w:rFonts w:cs="David" w:ascii="David" w:hAnsi="David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 עוד שעיקרון ההלימה מחייב ענישה מכבידה של מאסר בפועל ורכיבי ענישה נוספים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המדינה טענה שמדובר באירוע אחד וכי יש לקבוע בגינו מתחם ענישה שבין </w:t>
      </w:r>
      <w:r>
        <w:rPr>
          <w:rFonts w:cs="David" w:ascii="David" w:hAnsi="David"/>
          <w:sz w:val="26"/>
          <w:szCs w:val="26"/>
        </w:rPr>
        <w:t>5-7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 שנפגעו הערכים החברתיים של שלום הציבור וביטחונו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הגנה על שלמות הגוף ועל ביטחון הציבור ושמירה על הסדר התקין במדינה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 כי התופעה של אנשים ללא עבר פלילי נוטלים נשק לידיים הינה תופעה חמורה במיוחד ומצביעה על כך שהשימוש בנשק הפך לבעיה אקוטית במגזר הערבי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אוזכרה הפסיקה הבאה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2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3877/16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באלי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17.11.16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שם קבעה הערכאה הדיונית מתחם ענישה שבין </w:t>
      </w:r>
      <w:r>
        <w:rPr>
          <w:rFonts w:cs="David" w:ascii="David" w:hAnsi="David"/>
          <w:sz w:val="26"/>
          <w:szCs w:val="26"/>
        </w:rPr>
        <w:t>2-4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שנים והטילה </w:t>
      </w:r>
      <w:r>
        <w:rPr>
          <w:rFonts w:cs="David" w:ascii="David" w:hAnsi="David"/>
          <w:sz w:val="26"/>
          <w:szCs w:val="26"/>
        </w:rPr>
        <w:t>34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בגין נשיאת אקדח טעון ומחסנית לשם יישוב סכסוך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2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1509/20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ראפאת נבארי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2.7.20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התקבל ערעור מצד המדינה והוחמר עונשו של נאשם שבשעת לילה ירה שני כדורים מתת מקלע מאולתר באזור מגורים בעיר לוד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העונש הוחמר מ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כאשר נקבע מתחם שבין </w:t>
      </w:r>
      <w:r>
        <w:rPr>
          <w:rFonts w:cs="David" w:ascii="David" w:hAnsi="David"/>
          <w:sz w:val="26"/>
          <w:szCs w:val="26"/>
        </w:rPr>
        <w:t>20-50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2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3596/20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יריס דחדל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16.8.20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נאשם הורשע על פי הודאתו בכתב אישום מתוקן בנשיאה והובלת נשק וירי באזור מגורים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הושת עליו עונש של </w:t>
      </w: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2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19642-04-18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אמין כלש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24.12.18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הנאשם הורשע על פי הודאתו בהסדר טיעון בנשיאת והובלת נשק ומעשי פזיזות ורשלנות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ירה באוויר לפחות </w:t>
      </w: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יריות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ענישה בין </w:t>
      </w:r>
      <w:r>
        <w:rPr>
          <w:rFonts w:cs="David" w:ascii="David" w:hAnsi="David"/>
          <w:sz w:val="26"/>
          <w:szCs w:val="26"/>
        </w:rPr>
        <w:t>20-48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בפועל והושתו עליו </w:t>
      </w: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2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54308-12-18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אחמד סואעד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21.10.20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נאשם הורשע בניסיון לחבלה חמורה בנסיבות מחמירות וביצוע ירי לעבר בית שלא פגע באדם ובעבירות נלוות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ביניהן הצתה וניסיון הצתה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ענישה של </w:t>
      </w:r>
      <w:r>
        <w:rPr>
          <w:rFonts w:cs="David" w:ascii="David" w:hAnsi="David"/>
          <w:sz w:val="26"/>
          <w:szCs w:val="26"/>
        </w:rPr>
        <w:t>3-7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והושתו עליו 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למען הסדר יצוין שאומנם הנאשם שם ביצע עבירות נוספות על עבירות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המדינה טענה שגם במקרה דנן בוצעו שתי עבירות חמורות נוספות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2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12480-04-16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עקאב קאסם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14.3.17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הנאשם הורשע בשלושה אישומים של ניסיון לחבלה חמורה בנסיבות מחמירות וכן בעבירת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נטען שבשלושת האישומים מדובר בירי שלא פגע באדם כאשר באישום השני נורו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קליעים לעבר בית בו שהתה משפחתו של המתלונן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בגין אישום זה נקבע מתחם ענישה של </w:t>
      </w:r>
      <w:r>
        <w:rPr>
          <w:rFonts w:cs="David" w:ascii="David" w:hAnsi="David"/>
          <w:sz w:val="26"/>
          <w:szCs w:val="26"/>
        </w:rPr>
        <w:t>12-36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בגין שלושת האישומים יחד הושת על הנאשם 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2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28139-10-13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באסל אבו אעמר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18.1.15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בן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בעבירות של החזקת נשק וניסיון לחבלה חמורה בנסיבות מחמירות בגין ביצוע ירי של מספר יריות אל עבר רכב בו ישבו אנשים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רקע סכסוך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הומלץ על ענישה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ולמרות זאת נגזרו על הנאשם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2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24163-04-15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שיבלי מוראד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27.6.16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נאשם שהורשע בעבירות של ניסיון לחבלה חמורה בנסיבות מחמירות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החזקת ונשיאת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איומים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היזק בזדון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פציעה בנסיבות מחמירות ונהיגה ללא רישיון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לאחר שירה שלוש יריות לעבר המתלונן ובהמשך התפתח בניהם עימות במהלכו היכה ונשך אותו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נגזרו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נטען שבמקרה הנוכחי התקיים תכנון מוקדם שהתבטא הן בהצטיידות בצוותא עם אחר באקדח ותחמושת והן בהגעה למתחם בו בוצע הירי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שהיה צפוי להיגרם נזק כבד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במיוחד לאור השימוש בנשק חם וההיקף הגדול של הירי שבוצע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 שחלקו היחסי של הנאשם בביצוע העבירה משמעותי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שהגם שלא הנאשם נשא את הנשק וביצע את הירי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נוכח תחולת דיני השותפות אין לייחס משקל של ממש לשאלה מי מהשותפים ביצע איזו פעולה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הכל נועד למטרה משותפת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נטען שהנאשם הוא אשר נשא את הנשק לאחר עזיבת בית המתלונן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באשר לקביעת העונש בתוך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נטען שיש לקבוע עונש ברף האמצעי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לאור הצורך בהרתעת הנאשם והרתעת הרבים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 שהתסקיר לא היה חיובי ועלה ממנו שהנאשם אינו מקבל אחריות לביצוע העבירות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שבתסקיר המשלים חל שינוי קטן בלבד בעמדה זו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התבקש בנוסף להטיל על הנאשם מאסר מותנה מרתיע וכן פיצוי הולם למתלונן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טיעוני הנאשם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הסנגור ציין את גילו הצעיר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שהעבירה לא בוצעה על רקע עברייני רגיל אלא על רקע סכסוך שהיה קיים בין שתי משפחות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שהנאשם מעולם לא נחקר ולא היה מעורב בעבירות פליליות קודם לכן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 שעמדת המדינה אינה משתקפת בפסיקה שהיא עצמה הביאה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כאשר ברוב פסקי הדין הענישה המרבית שהוטלה הייתה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שאין זה מידתי לטעון לעונש כמעט כפול מזה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הסנגור טען שלא בכדי הותר לו במסגרת הסדר הטיעון לטעון שלא הנאשם ביצע את הירי אלא האחר ונטען שטיעון זה מתבסס על חומר ראיות אובייקטיבי שבתיק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האירוע צולם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Normal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 שאין מחלוקת שהתקיימה שותפות מלאה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לזהות היורה חשיבות ועוד נטען שהאחר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היה המבצע הדומיננטי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הסנגור טען למתחם ענישה שנע בין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עוד שהנאשם נטל אחריות מלאה על מעשיו ושכתב האישום תוקן באופן משמעותי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נטען שעמדת שירות המבחן אינה מובנת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לטענת הסנגור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ביטא צורך טיפולי באופן ברור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הוזכר עוד שהנשק נתפס והסנגור גם הפנה למכתב שהוגש מטעם המתלוננים בו ביקשו להקל עם הנאשם וציינו שהסכסוך הסתיים בעקבות סולחה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נוכח הנסיבות נטען שיש למקם את עונשו של הנאשם בתחתית המתחם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הסנגור טען שהטלת פיצוי כבד על הנאשם יביא לכך שלא הוא ישלם אותו ונטען שיש להתחשב בגילו וביכולותיו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אוזכרה בין היתר הפסיקה הבאה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3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17941-11-18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קוסאי נג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אר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6.7.20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נאשם הורשע בעבירות של נשיאת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תחמושת וחבלה חמורה בכך שירה באקדח כדור אחד לעבר המתלונן מטווח קצר שפגע בירכו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הוטלו שנתיים וחצי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נטען שהמקרה דנן קל בהרבה כאשר לא נגרמו פציעות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4038/14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מהראן אבו עבד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15.7.14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 xml:space="preserve">הערכאה הדיונית הטילה על שני אחים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בהתאמה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פי כתב האישום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יוחס למשיבים ביצוע עבירות של החזקה ונשיאת נשק שלא כדין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ירי באזור מגורים וחבלה </w:t>
      </w:r>
      <w:r>
        <w:rPr>
          <w:rFonts w:ascii="David" w:hAnsi="David"/>
          <w:sz w:val="26"/>
          <w:sz w:val="26"/>
          <w:szCs w:val="26"/>
          <w:rtl w:val="true"/>
        </w:rPr>
        <w:t xml:space="preserve">חמורה </w:t>
      </w:r>
      <w:r>
        <w:rPr>
          <w:rFonts w:ascii="David" w:hAnsi="David"/>
          <w:sz w:val="26"/>
          <w:sz w:val="26"/>
          <w:szCs w:val="26"/>
          <w:rtl w:val="true"/>
        </w:rPr>
        <w:t>בנסיבות מחמירות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בליל האירוע בתו של אחד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הנאשמים </w:t>
      </w:r>
      <w:r>
        <w:rPr>
          <w:rFonts w:ascii="David" w:hAnsi="David"/>
          <w:sz w:val="26"/>
          <w:sz w:val="26"/>
          <w:szCs w:val="26"/>
          <w:rtl w:val="true"/>
        </w:rPr>
        <w:t>התקשרה אליו ודיווחה לו שבני משפחתם מותקפים על ידי בני משפחה אחרת בכפר המצוידים בנשק קר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לאחר כ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דקות הגיע למקום ה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ascii="David" w:hAnsi="David"/>
          <w:sz w:val="26"/>
          <w:sz w:val="26"/>
          <w:szCs w:val="26"/>
          <w:rtl w:val="true"/>
        </w:rPr>
        <w:t xml:space="preserve">ערער יחד עם אחיו כשהם נושאים נשק חם והחלו לירות לעבר המשפחה האחרת ופצעו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אנשים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הם הורשעו על פי הודאתם בכתב אישום מתוקן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</w:t>
      </w:r>
      <w:r>
        <w:rPr>
          <w:rFonts w:ascii="David" w:hAnsi="David"/>
          <w:sz w:val="26"/>
          <w:sz w:val="26"/>
          <w:szCs w:val="26"/>
          <w:rtl w:val="true"/>
        </w:rPr>
        <w:t xml:space="preserve">ענישה </w:t>
      </w:r>
      <w:r>
        <w:rPr>
          <w:rFonts w:ascii="David" w:hAnsi="David"/>
          <w:sz w:val="26"/>
          <w:sz w:val="26"/>
          <w:szCs w:val="26"/>
          <w:rtl w:val="true"/>
        </w:rPr>
        <w:t xml:space="preserve">שבין </w:t>
      </w:r>
      <w:r>
        <w:rPr>
          <w:rFonts w:cs="David" w:ascii="David" w:hAnsi="David"/>
          <w:sz w:val="26"/>
          <w:szCs w:val="26"/>
        </w:rPr>
        <w:t>6-24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יוחס משקל רב לנסיבות החריגות של ביצוע העבירות שבוצעו כתגובה לסיכון ואיום שנשקפו להם ולמשפחתם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התקבל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משיב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נגזרו 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בפועל ועל משיב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נגזרו </w:t>
      </w: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נקבע כי האינטרס הציבורי מצדיק העלאת רף הענישה וקביעת עונשי מאסר בפועל ממשיים ולא לתקופה של חודשים ספורים בלבד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3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3639-11-14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עלאא חסאמרה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19.5.15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באותו מקרה ירה הנאשם מספר יריות לעבר המתלוננים ונגרמו פגיעות בקיר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ענישה בין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ונגזרו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hyperlink r:id="rId3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3120/04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ניר חזיזה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13.9.04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/>
          <w:sz w:val="26"/>
          <w:sz w:val="26"/>
          <w:szCs w:val="26"/>
          <w:rtl w:val="true"/>
        </w:rPr>
        <w:t>המערער הזמין את המתלונן לפגוש אותו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המערער הגיע למפגש כשהוא נושא נשק על גופו ובעקבות קטטה שפרצה עם המתלונן הוא שלף את האקדח וירה מספר יריות לעבר המתלונן שאחת מהן פגעה בברכו השמאלית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יוחסה לנאשם עבירה לפי </w:t>
      </w:r>
      <w:hyperlink r:id="rId34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329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 והוא הורשע לאחר שמיעת ראיות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נגזרו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לריצוי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ערעור המדינה על קולת העונש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עמדת הנאשם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התנצל על מה שקרה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הודה לה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שאף אחד לא נפגע וביקש רחמנות והקלה בעונשו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תואר שמדובר באדם בן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רווק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שטרם מעצרו עבד עם אביו בעבודות ריצוף ותכנן להתחיל לימודים אקדמאיים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בעל תעודת בגרות מלאה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משפחת מוצאו נורמטיבית ואביו סובל מבעיות בריאותיות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בתסקיר הראשון נרשמה התרשמות שהנאשם אינו מודה בביצוע העבירות וטען שרק הצטרף לאחר מבלי שידע על כוונתו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יחד עם זאת הביע צער וחרטה על מעורבותו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נמנו שורה של גורמי סיכון והוערך שקיים סיכון להישנות עבירות דומות בעתיד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בסופו של דבר לא הומלץ על חלופה שיקומית או עונשית כאפשרות העשויה להביא להפחתת הסיכון להישנות עבירות דומות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תחת זאת הומלץ על שילובו בהליך טיפולי במסגרת בית הכלא אם יוטל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בתסקיר המשלים נרשם שינוי בעמדתו והנאשם הודה שהצטרף לאחר בעת ביצוע הירי אך המשיך להדגיש שלא הוא הפעיל את כלי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 שונתה ההמלצה הסופית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הינו בן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וללא עבר פלילי קודם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היה עצור מיום </w:t>
      </w:r>
      <w:r>
        <w:rPr>
          <w:rFonts w:cs="David" w:ascii="David" w:hAnsi="David"/>
          <w:sz w:val="26"/>
          <w:szCs w:val="26"/>
        </w:rPr>
        <w:t>14.11.20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ועד ליום </w:t>
      </w:r>
      <w:r>
        <w:rPr>
          <w:rFonts w:cs="David" w:ascii="David" w:hAnsi="David"/>
          <w:sz w:val="26"/>
          <w:szCs w:val="26"/>
        </w:rPr>
        <w:t>31.1.21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ואז הועבר לתנאי מעצר בפיקוח אלקטרוני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בטיעונים לעונש העיד אחד מחברי ועדת הסולחה ותיאר שהסולחה הביאה לסיום הסכסוך בין שתי המשפחות ושמאז חלפו מספר חודשים היחסים ביניהן תקינים וטובים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 הוגש הסכם הסולחה בין המשפחות ומכתב בחתימת המתלונן בו צוין שהסכסוך בין הצדדים יושב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הערכים החברתיים שנפגעו הם שמירה על שלום הציבור ורכושו ואף שמירה על שלמות הגוף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רמת הפגיעה בערכים הראשונים הייתה בינונית ויותר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יוזכר שאומנם לא נפגע איש אך בוצע ירי במקום מגורים בקרבה רבה לאנשים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בוצע ירי בהיקף גדול יחסית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 בעבירה שתוכננה מראש אך לא דרשה תכנון רב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נראה שחלקו של הנאשם היה משני ביחס לחלקו של האחר ולמעשה נגרר אחריו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מתוך מדיניות הענישה והצורך להחמיר בעבירות נשק הגעתי למסקנה שמתחם הענישה ההולם במקרה זה נבע בין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באשר לעונש בתוך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לחומרא יש לשקול את הסיכון להישנות ביצוע עבירות דומות בעתיד ולקולא את העובדה שהנאשם הודה בביצוע העבירות בשלב מוקדם של ההליך וקיבל אחריות על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נתתי משקל לגילו הצעיר של הנאשם ולעובדה שאין לחובתו הרשעות קודמות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נוכח כל האמור הגעתי מצאתי להטיל ענישה כדלקמן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שמתקופה זו תנוכה תקופת מעצרו מיום </w:t>
      </w:r>
      <w:r>
        <w:rPr>
          <w:rFonts w:cs="David" w:ascii="David" w:hAnsi="David"/>
          <w:sz w:val="26"/>
          <w:szCs w:val="26"/>
        </w:rPr>
        <w:t>14.11.20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ועד ליום </w:t>
      </w:r>
      <w:r>
        <w:rPr>
          <w:rFonts w:cs="David" w:ascii="David" w:hAnsi="David"/>
          <w:sz w:val="26"/>
          <w:szCs w:val="26"/>
        </w:rPr>
        <w:t>31.1.21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מאסר על תנאי בן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חודשים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שהתנאי יופעל במידה והנאשם יבצע עבירות אלימות או נשק מסוג פשע</w:t>
      </w:r>
      <w:r>
        <w:rPr>
          <w:rFonts w:cs="David" w:ascii="David" w:hAnsi="David"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פיצוי למתלונן בסך </w:t>
      </w:r>
      <w:r>
        <w:rPr>
          <w:rFonts w:cs="David" w:ascii="David" w:hAnsi="David"/>
          <w:sz w:val="26"/>
          <w:szCs w:val="26"/>
        </w:rPr>
        <w:t>3,000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לתשלום עד ליום </w:t>
      </w:r>
      <w:r>
        <w:rPr>
          <w:rFonts w:cs="David" w:ascii="David" w:hAnsi="David"/>
          <w:sz w:val="26"/>
          <w:szCs w:val="26"/>
        </w:rPr>
        <w:t>1.10.21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הנאשם יתייצב לתחילת ריצוי עונשו ביום </w:t>
      </w:r>
      <w:r>
        <w:rPr>
          <w:rFonts w:cs="David" w:ascii="David" w:hAnsi="David"/>
          <w:sz w:val="26"/>
          <w:szCs w:val="26"/>
        </w:rPr>
        <w:t>26/7/21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שעה </w:t>
      </w:r>
      <w:r>
        <w:rPr>
          <w:rFonts w:cs="David" w:ascii="David" w:hAnsi="David"/>
          <w:sz w:val="26"/>
          <w:szCs w:val="26"/>
        </w:rPr>
        <w:t>10:00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sz w:val="26"/>
          <w:szCs w:val="26"/>
          <w:u w:val="single"/>
        </w:rPr>
        <w:t>45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יום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bookmarkStart w:id="12" w:name="Nitan"/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19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b/>
          <w:bCs/>
          <w:sz w:val="26"/>
          <w:szCs w:val="26"/>
        </w:rPr>
        <w:t>2021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במעמד הנאשם ובאי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כח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bookmarkEnd w:id="12"/>
    </w:p>
    <w:tbl>
      <w:tblPr>
        <w:tblpPr w:vertAnchor="text" w:horzAnchor="margin" w:tblpXSpec="left" w:rightFromText="180" w:tblpY="7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72146-11-20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מהדי ריאן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33" TargetMode="External"/><Relationship Id="rId15" Type="http://schemas.openxmlformats.org/officeDocument/2006/relationships/hyperlink" Target="http://www.nevo.co.il/law/70301/335.a.1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case/16980206" TargetMode="External"/><Relationship Id="rId20" Type="http://schemas.openxmlformats.org/officeDocument/2006/relationships/hyperlink" Target="http://www.nevo.co.il/case/5821328" TargetMode="External"/><Relationship Id="rId21" Type="http://schemas.openxmlformats.org/officeDocument/2006/relationships/hyperlink" Target="http://www.nevo.co.il/case/25824897" TargetMode="External"/><Relationship Id="rId22" Type="http://schemas.openxmlformats.org/officeDocument/2006/relationships/hyperlink" Target="http://www.nevo.co.il/case/21474168" TargetMode="External"/><Relationship Id="rId23" Type="http://schemas.openxmlformats.org/officeDocument/2006/relationships/hyperlink" Target="http://www.nevo.co.il/case/26492590" TargetMode="External"/><Relationship Id="rId24" Type="http://schemas.openxmlformats.org/officeDocument/2006/relationships/hyperlink" Target="http://www.nevo.co.il/case/26731682" TargetMode="External"/><Relationship Id="rId25" Type="http://schemas.openxmlformats.org/officeDocument/2006/relationships/hyperlink" Target="http://www.nevo.co.il/case/23859579" TargetMode="External"/><Relationship Id="rId26" Type="http://schemas.openxmlformats.org/officeDocument/2006/relationships/hyperlink" Target="http://www.nevo.co.il/case/25255773" TargetMode="External"/><Relationship Id="rId27" Type="http://schemas.openxmlformats.org/officeDocument/2006/relationships/hyperlink" Target="http://www.nevo.co.il/case/21282242" TargetMode="External"/><Relationship Id="rId28" Type="http://schemas.openxmlformats.org/officeDocument/2006/relationships/hyperlink" Target="http://www.nevo.co.il/case/8437593" TargetMode="External"/><Relationship Id="rId29" Type="http://schemas.openxmlformats.org/officeDocument/2006/relationships/hyperlink" Target="http://www.nevo.co.il/case/20214074" TargetMode="External"/><Relationship Id="rId30" Type="http://schemas.openxmlformats.org/officeDocument/2006/relationships/hyperlink" Target="http://www.nevo.co.il/case/25126873" TargetMode="External"/><Relationship Id="rId31" Type="http://schemas.openxmlformats.org/officeDocument/2006/relationships/hyperlink" Target="http://www.nevo.co.il/case/16980206" TargetMode="External"/><Relationship Id="rId32" Type="http://schemas.openxmlformats.org/officeDocument/2006/relationships/hyperlink" Target="http://www.nevo.co.il/case/18124293" TargetMode="External"/><Relationship Id="rId33" Type="http://schemas.openxmlformats.org/officeDocument/2006/relationships/hyperlink" Target="http://www.nevo.co.il/case/5877504" TargetMode="External"/><Relationship Id="rId34" Type="http://schemas.openxmlformats.org/officeDocument/2006/relationships/hyperlink" Target="http://www.nevo.co.il/law/70301/329.a.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2022-02-23T11:38:00Z</dcterms:created>
  <dc:creator> </dc:creator>
  <dc:description/>
  <cp:keywords/>
  <dc:language>en-IL</dc:language>
  <cp:lastModifiedBy>h1</cp:lastModifiedBy>
  <dcterms:modified xsi:type="dcterms:W3CDTF">2022-02-23T11:38:00Z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מהדי ריאן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16980206:2;5821328;25824897;21474168;26492590;26731682;23859579;25255773;21282242;8437593;20214074;25126873;18124293;5877504</vt:lpwstr>
  </property>
  <property fmtid="{D5CDD505-2E9C-101B-9397-08002B2CF9AE}" pid="9" name="CITY">
    <vt:lpwstr>חי'</vt:lpwstr>
  </property>
  <property fmtid="{D5CDD505-2E9C-101B-9397-08002B2CF9AE}" pid="10" name="DATE">
    <vt:lpwstr>20210719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70301/144.b;029;333;335.a.1;025;244;275;329.a.1</vt:lpwstr>
  </property>
  <property fmtid="{D5CDD505-2E9C-101B-9397-08002B2CF9AE}" pid="15" name="LAWYER">
    <vt:lpwstr>בני פסקל;מיכאל כרמל;זיאד ריאן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72146</vt:lpwstr>
  </property>
  <property fmtid="{D5CDD505-2E9C-101B-9397-08002B2CF9AE}" pid="22" name="NEWPARTB">
    <vt:lpwstr>11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390020210719</vt:lpwstr>
  </property>
  <property fmtid="{D5CDD505-2E9C-101B-9397-08002B2CF9AE}" pid="34" name="TYPE_N_DATE">
    <vt:lpwstr>39020210719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