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5"/>
      </w:tblGrid>
      <w:tr>
        <w:trPr>
          <w:trHeight w:val="418" w:hRule="exact"/>
        </w:trPr>
        <w:tc>
          <w:tcPr>
            <w:tcW w:w="8505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8505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7311-12-22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סואעד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טובי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בכיר</w:t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סאלח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סואעד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start"/>
        <w:rPr/>
      </w:pPr>
      <w:bookmarkStart w:id="3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3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אדרי</w:t>
      </w:r>
    </w:p>
    <w:p>
      <w:pPr>
        <w:pStyle w:val="Normal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אנגאם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קנדלפת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tl w:val="true"/>
        </w:rPr>
        <w:t>)</w:t>
      </w:r>
    </w:p>
    <w:p>
      <w:pPr>
        <w:pStyle w:val="Normal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הליווי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eastAsia="Calibri" w:cs="FrankRuehl"/>
        </w:rPr>
      </w:pPr>
      <w:r>
        <w:rPr>
          <w:rFonts w:eastAsia="Calibri" w:cs="FrankRuehl" w:ascii="FrankRuehl" w:hAnsi="FrankRuehl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eastAsia="Calibri" w:cs="FrankRuehl"/>
        </w:rPr>
      </w:pPr>
      <w:r>
        <w:rPr>
          <w:rFonts w:eastAsia="Calibri" w:cs="FrankRuehl" w:ascii="FrankRuehl" w:hAnsi="FrankRuehl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eastAsia="Calibri" w:cs="FrankRuehl"/>
        </w:rPr>
      </w:pPr>
      <w:r>
        <w:rPr>
          <w:rFonts w:eastAsia="Calibri" w:cs="FrankRuehl" w:ascii="FrankRuehl" w:hAnsi="FrankRuehl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eastAsia="Calibri" w:cs="FrankRuehl"/>
        </w:rPr>
      </w:pPr>
      <w:r>
        <w:rPr>
          <w:rFonts w:ascii="FrankRuehl" w:hAnsi="FrankRuehl" w:eastAsia="Calibri" w:cs="FrankRuehl"/>
          <w:rtl w:val="true"/>
        </w:rPr>
        <w:t>חקיקה שאוזכרה</w:t>
      </w:r>
      <w:r>
        <w:rPr>
          <w:rFonts w:eastAsia="Calibri" w:cs="FrankRuehl" w:ascii="FrankRuehl" w:hAnsi="FrankRuehl"/>
          <w:rtl w:val="true"/>
        </w:rPr>
        <w:t xml:space="preserve">: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eastAsia="Calibri" w:cs="FrankRuehl"/>
        </w:rPr>
      </w:pPr>
      <w:hyperlink r:id="rId2">
        <w:r>
          <w:rPr>
            <w:rStyle w:val="Hyperlink"/>
            <w:rFonts w:ascii="FrankRuehl" w:hAnsi="FrankRuehl" w:eastAsia="Calibri" w:cs="FrankRuehl"/>
            <w:color w:val="0000FF"/>
            <w:rtl w:val="true"/>
          </w:rPr>
          <w:t>חוק העונשין</w:t>
        </w:r>
        <w:r>
          <w:rPr>
            <w:rStyle w:val="Hyperlink"/>
            <w:rFonts w:eastAsia="Calibri"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eastAsia="Calibri" w:cs="FrankRuehl"/>
            <w:color w:val="0000FF"/>
            <w:rtl w:val="true"/>
          </w:rPr>
          <w:t>תשל</w:t>
        </w:r>
        <w:r>
          <w:rPr>
            <w:rStyle w:val="Hyperlink"/>
            <w:rFonts w:eastAsia="Calibri"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eastAsia="Calibri" w:cs="FrankRuehl"/>
            <w:color w:val="0000FF"/>
            <w:rtl w:val="true"/>
          </w:rPr>
          <w:t>ז</w:t>
        </w:r>
        <w:r>
          <w:rPr>
            <w:rStyle w:val="Hyperlink"/>
            <w:rFonts w:eastAsia="Calibri"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eastAsia="Calibri" w:cs="FrankRuehl" w:ascii="FrankRuehl" w:hAnsi="FrankRuehl"/>
            <w:color w:val="0000FF"/>
          </w:rPr>
          <w:t>1977</w:t>
        </w:r>
      </w:hyperlink>
      <w:r>
        <w:rPr>
          <w:rFonts w:eastAsia="Calibri" w:cs="FrankRuehl" w:ascii="FrankRuehl" w:hAnsi="FrankRuehl"/>
          <w:rtl w:val="true"/>
        </w:rPr>
        <w:t xml:space="preserve">: </w:t>
      </w:r>
      <w:r>
        <w:rPr>
          <w:rFonts w:ascii="FrankRuehl" w:hAnsi="FrankRuehl" w:eastAsia="Calibri" w:cs="FrankRuehl"/>
          <w:rtl w:val="true"/>
        </w:rPr>
        <w:t>סע</w:t>
      </w:r>
      <w:r>
        <w:rPr>
          <w:rFonts w:eastAsia="Calibri"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eastAsia="Calibri" w:cs="FrankRuehl" w:ascii="FrankRuehl" w:hAnsi="FrankRuehl"/>
            <w:color w:val="0000FF"/>
          </w:rPr>
          <w:t>25</w:t>
        </w:r>
      </w:hyperlink>
      <w:r>
        <w:rPr>
          <w:rFonts w:eastAsia="Calibri"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eastAsia="Calibri" w:cs="FrankRuehl" w:ascii="FrankRuehl" w:hAnsi="FrankRuehl"/>
            <w:color w:val="0000FF"/>
          </w:rPr>
          <w:t>144</w:t>
        </w:r>
        <w:r>
          <w:rPr>
            <w:rStyle w:val="Hyperlink"/>
            <w:rFonts w:eastAsia="Calibri"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eastAsia="Calibri" w:cs="FrankRuehl"/>
            <w:color w:val="0000FF"/>
            <w:rtl w:val="true"/>
          </w:rPr>
          <w:t>ב</w:t>
        </w:r>
        <w:r>
          <w:rPr>
            <w:rStyle w:val="Hyperlink"/>
            <w:rFonts w:eastAsia="Calibri" w:cs="FrankRuehl" w:ascii="FrankRuehl" w:hAnsi="FrankRuehl"/>
            <w:color w:val="0000FF"/>
            <w:rtl w:val="true"/>
          </w:rPr>
          <w:t>)</w:t>
        </w:r>
      </w:hyperlink>
      <w:r>
        <w:rPr>
          <w:rFonts w:eastAsia="Calibri"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eastAsia="Calibri" w:cs="FrankRuehl" w:ascii="FrankRuehl" w:hAnsi="FrankRuehl"/>
            <w:color w:val="0000FF"/>
          </w:rPr>
          <w:t>192</w:t>
        </w:r>
      </w:hyperlink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ההליך וכתב האישום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>.</w:t>
        <w:tab/>
      </w:r>
      <w:bookmarkStart w:id="9" w:name="ABSTRACT_START"/>
      <w:bookmarkEnd w:id="9"/>
      <w:r>
        <w:rPr>
          <w:rFonts w:ascii="David" w:hAnsi="David" w:eastAsia="Calibri"/>
          <w:rtl w:val="true"/>
        </w:rPr>
        <w:t>הנאשם הורשע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סמך הודאתו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שניתנה במסגרת הסדר 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בעבירות בנשק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ניסיון נשיאה</w:t>
      </w:r>
      <w:r>
        <w:rPr>
          <w:rFonts w:eastAsia="Calibri" w:cs="David" w:ascii="David" w:hAnsi="David"/>
          <w:rtl w:val="true"/>
        </w:rPr>
        <w:t xml:space="preserve">) </w:t>
      </w:r>
      <w:r>
        <w:rPr>
          <w:rFonts w:ascii="David" w:hAnsi="David" w:eastAsia="Calibri"/>
          <w:rtl w:val="true"/>
        </w:rPr>
        <w:t xml:space="preserve">לפי </w:t>
      </w:r>
      <w:hyperlink r:id="rId6">
        <w:r>
          <w:rPr>
            <w:rStyle w:val="Hyperlink"/>
            <w:rFonts w:ascii="David" w:hAnsi="David" w:eastAsia="Calibri"/>
            <w:rtl w:val="true"/>
          </w:rPr>
          <w:t>סעיפים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144</w:t>
        </w:r>
        <w:r>
          <w:rPr>
            <w:rStyle w:val="Hyperlink"/>
            <w:rFonts w:eastAsia="Calibri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Calibri"/>
            <w:rtl w:val="true"/>
          </w:rPr>
          <w:t>ב</w:t>
        </w:r>
        <w:r>
          <w:rPr>
            <w:rStyle w:val="Hyperlink"/>
            <w:rFonts w:eastAsia="Calibri" w:cs="David" w:ascii="David" w:hAnsi="David"/>
            <w:rtl w:val="true"/>
          </w:rPr>
          <w:t>)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רישא וסיפא </w:t>
      </w:r>
      <w:r>
        <w:rPr>
          <w:rFonts w:eastAsia="Calibri" w:cs="David" w:ascii="David" w:hAnsi="David"/>
          <w:rtl w:val="true"/>
        </w:rPr>
        <w:t xml:space="preserve">+ </w:t>
      </w:r>
      <w:hyperlink r:id="rId7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25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hyperlink r:id="rId8">
        <w:r>
          <w:rPr>
            <w:rStyle w:val="Hyperlink"/>
            <w:rFonts w:ascii="David" w:hAnsi="David" w:eastAsia="Calibri"/>
            <w:color w:val="0000FF"/>
            <w:u w:val="single"/>
            <w:rtl w:val="true"/>
          </w:rPr>
          <w:t>חוק העונשין</w:t>
        </w:r>
      </w:hyperlink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התשל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ז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1977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חוק העונשין</w:t>
      </w:r>
      <w:r>
        <w:rPr>
          <w:rFonts w:eastAsia="Calibri" w:cs="David" w:ascii="David" w:hAnsi="David"/>
          <w:rtl w:val="true"/>
        </w:rPr>
        <w:t xml:space="preserve">"), </w:t>
      </w:r>
      <w:r>
        <w:rPr>
          <w:rFonts w:ascii="David" w:hAnsi="David" w:eastAsia="Calibri"/>
          <w:rtl w:val="true"/>
        </w:rPr>
        <w:t xml:space="preserve">ובעבירת איומים לפי </w:t>
      </w:r>
      <w:hyperlink r:id="rId9">
        <w:r>
          <w:rPr>
            <w:rStyle w:val="Hyperlink"/>
            <w:rFonts w:ascii="David" w:hAnsi="David" w:eastAsia="Calibri"/>
            <w:rtl w:val="true"/>
          </w:rPr>
          <w:t>סעיף</w:t>
        </w:r>
        <w:r>
          <w:rPr>
            <w:rStyle w:val="Hyperlink"/>
            <w:rFonts w:ascii="David" w:hAnsi="David" w:eastAsia="Calibri"/>
            <w:rtl w:val="true"/>
          </w:rPr>
          <w:t xml:space="preserve"> </w:t>
        </w:r>
        <w:r>
          <w:rPr>
            <w:rStyle w:val="Hyperlink"/>
            <w:rFonts w:eastAsia="Calibri" w:cs="David" w:ascii="David" w:hAnsi="David"/>
          </w:rPr>
          <w:t>192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לחוק העונשין</w:t>
      </w:r>
      <w:bookmarkStart w:id="10" w:name="ABSTRACT_END"/>
      <w:bookmarkEnd w:id="10"/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הודאת הנאשם ניתנה לאחר תיקון כתב האישום שנעשה במסגרת הסדר הטיעון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לא כלל הסכמה עונשית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נקבע כי לעניין העונש יטען כל צד את טענותיו באופן חופשי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בעובדות כתב האישום המתוקן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להלן</w:t>
      </w:r>
      <w:r>
        <w:rPr>
          <w:rFonts w:eastAsia="Calibri" w:cs="David" w:ascii="David" w:hAnsi="David"/>
          <w:rtl w:val="true"/>
        </w:rPr>
        <w:t>: "</w:t>
      </w:r>
      <w:r>
        <w:rPr>
          <w:rFonts w:ascii="David" w:hAnsi="David" w:eastAsia="Calibri"/>
          <w:rtl w:val="true"/>
        </w:rPr>
        <w:t>כתב האישום</w:t>
      </w:r>
      <w:r>
        <w:rPr>
          <w:rFonts w:eastAsia="Calibri" w:cs="David" w:ascii="David" w:hAnsi="David"/>
          <w:rtl w:val="true"/>
        </w:rPr>
        <w:t xml:space="preserve">") </w:t>
      </w:r>
      <w:r>
        <w:rPr>
          <w:rFonts w:ascii="David" w:hAnsi="David" w:eastAsia="Calibri"/>
          <w:rtl w:val="true"/>
        </w:rPr>
        <w:t xml:space="preserve">נאמר כי עובר לתאריך </w:t>
      </w:r>
      <w:r>
        <w:rPr>
          <w:rFonts w:eastAsia="Calibri" w:cs="David" w:ascii="David" w:hAnsi="David"/>
        </w:rPr>
        <w:t>26.11.2022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החליטו בני משפחתו של הנאשם להפנותו לטיפול גמילה מסמים עקב התדרדרות במצבו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 xml:space="preserve">ביום </w:t>
      </w:r>
      <w:r>
        <w:rPr>
          <w:rFonts w:eastAsia="Calibri" w:cs="David" w:ascii="David" w:hAnsi="David"/>
        </w:rPr>
        <w:t>26.11.2022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בשעות הערב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פנה אחיו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מוחמד סואעד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לבן דודו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סאלח סואעד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וחברו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סאגר 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ואמיס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מנת שיסייעו לו בהסעת הנאשם משפרעם לקריה הרפואית רמב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ם בחיפה לצורך הפנייתו לטיפול גמילה מסמים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בסמוך לשעה </w:t>
      </w:r>
      <w:r>
        <w:rPr>
          <w:rFonts w:eastAsia="Calibri" w:cs="David" w:ascii="David" w:hAnsi="David"/>
        </w:rPr>
        <w:t>20:00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הגיעו הנ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 יחד עם הנאשם לרחבת המיון ברמב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ם כאשר הנאשם צועק ומשתולל ברכב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בהגיעם למקום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פנה אליהם קב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ט בית החולים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נושא על גופו אקדח טעון במחסנית התואמת לו ובתוכה 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וזאת מכוח תפקידו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האקדח היה מושחל בנרתיק ייעודי בחגורתו של הקב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ט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בכלי נשק שסוגל לירות כדור שבכוחו להמית אדם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אחיו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מוחמד סואעד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הסביר לקב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ט את מהות הגעתם לרמב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ם ואת מצבו של הנאשם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הקב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ט שוחח עם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לבקשת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התלווה אליו הצדה והשניים שוחחו ביניהם כשלצדם מאבטחים נוספים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בעוד השניים משוחחים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איים הנאשם על מוחמד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סאלח וסאגר בפגיעה שלא כדין בגופם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ומשהבחין באחיו מוחמד מתקרב אליו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הושיט את ידו במהירות לעבר האקדח שנשא הקב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תפס אותו בידו וניסה להוציאו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בעודו מאיים על מוחמד באומרו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>, "</w:t>
      </w:r>
      <w:r>
        <w:rPr>
          <w:rFonts w:ascii="David" w:hAnsi="David" w:eastAsia="Calibri"/>
          <w:rtl w:val="true"/>
        </w:rPr>
        <w:t>עוף מפה אתה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בכבוד שלי אני אשלוף את האקדח אני ארה בך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הנאשם המשיך לאיים על מוחמד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סאלח וסאגר בפגיעה שלא כדין בגופם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ובתגובה תפס הקב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ט את האקדח ומנע מהנאשם לקחתו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הקב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ט והמאבטחים הרגיעו את הנאשם והעבירו אותו לבדיקה רפואית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במהלך הבדיקה ביקש הנאשם מהמאבטחים שילוו אותו לרחבת המיון כדי לעשן סיגריה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בהגיעו לרחבה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הבחין הנאשם במוחמד ואז החל לצעוק ולרוץ לעברו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המאבטחים רדפו אחריו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תפסו אותו והרגיעו אותו שוב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בעקבות התנהגותו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הוזעק למקום כוח משטרתי והנאשם נאזק ונעצר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שהתנגד למעצרו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לבקשת ההגנה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הוריתי על הפנייתו של הנאשם לשירות המבחן לצורך עריכת תסקיר בעניינו בטרם שמיעת טיעוני הצדדים לעונש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u w:val="single"/>
          <w:rtl w:val="true"/>
        </w:rPr>
        <w:t>תסקיר שירות המבחן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 xml:space="preserve">בתסקיר שירות המבחן מיום </w:t>
      </w:r>
      <w:r>
        <w:rPr>
          <w:rFonts w:eastAsia="Calibri" w:cs="David" w:ascii="David" w:hAnsi="David"/>
        </w:rPr>
        <w:t>2.7.2023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נאמר כי מדובר בצעיר בן </w:t>
      </w: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נשוי ואב לשני ילדים בגילאי שנה וחצי ושלוש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המתגוררים עם אמם בחיפה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נישא ללא ידיעת משפחתו והמשיך להתגורר בבית הוריו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גילו על אודות נישואיו רק לאחר מעצרו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הנאשם סיים חמש שנות לימוד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במהלכן גילה קשיי למידה והסתגלות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אף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מעולם לא עבר כל אבחון לזיהוי הפרעות קשב וריכוז או קשיי למידה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עד היום איננו יודע קרוא וכתוב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נשירתו מהלימודים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הרבה לשוטט עם בני גילו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נהג לבלות עד השעות הקטנות של הלילה והתוודע לשימוש בסמים מסוג חשיש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שהפך עד מהרה להרגל יום</w:t>
      </w:r>
      <w:r>
        <w:rPr>
          <w:rFonts w:eastAsia="Calibri" w:cs="David" w:ascii="David" w:hAnsi="David"/>
          <w:rtl w:val="true"/>
        </w:rPr>
        <w:t>-</w:t>
      </w:r>
      <w:r>
        <w:rPr>
          <w:rFonts w:ascii="David" w:hAnsi="David" w:eastAsia="Calibri"/>
          <w:rtl w:val="true"/>
        </w:rPr>
        <w:t>יומי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לדברי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לפני כארבע שנים נודע למשפחתו על דפוסי השימוש בסמים והוא התבקש לחדול ממעשיו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ציין כי ניסה להיגמל באופן עצמאי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ללא הצלחה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וכי מעולם לא היה בטיפול גמילה במוסד כלשהו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מאז מעצרו הוא חדל להשתמש בסמים ומצבו הבריאותי השתפר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הנאשם שיתף כי לפני כשבע שנים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בהיותו בן </w:t>
      </w: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נישא לאשתו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שהייתה כבת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מבלי לגלות דבר לבני משפחתו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מנישואיו אלו נולדו לו שני ילדים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גם לאחר שמשפחתו גילתה על אודות נישואיו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היא מסרבת לקיים כל קשר עם אשתו ועם ילדיו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גיליון רישומו הפלילי של הנאשם מלמד כי אין לחובתו הרשעות קודמות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בהתייחס לעבירות מושא הדיון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הודה הנאשם במיוחס 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אך התקשה לשאת באחריות למעשיו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התייחסותו מגלה גישה הנוטה למזער מחומרת המעשים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לתת להם הסברים רציונליים ולהשליך את המניע לביצועם על גורמים חיצוניים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לשיטתו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אחיו מוחמד שגה בהחלטתו להסיעו בכוח לבית החולים מבלי שהמתין עד שיירגע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מסר הנאשם כי ניסה לתקוף את אחיו בהיותו תחת השפעת חומרי הרדמה שניתנו לו בבית החולים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הנאשם התקשה להתבונן בבחירותיו ובמניעים שעמדו ברקע למעשיו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וכן התקשה להעמיק בבחינת מצבו ההתמכרותי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הלה ציין כי אינו נמצא בטיפול בכלא והביע נכונות לעבור גמילה בקהילה בתנאי שלא יהיה במסגרת סגורה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שירות המבחן העריך כי הצבת תנאים אלה מעידה על היעדר מודעות מצדו למורכבות מצבו הנפשי וההתמכרותי ולפסול שבמעשיו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בבואו להעריך את הסיכון להישנות מעשים עברייניים בעתיד אל מול סיכויי שיקומו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ציין שירות המבחן בין גורמי הסיכון את חוסר היציבות במרבית מישורי חייו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היעדר ליווי והכוונה של דמות סמכותית ומציבת גבולות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ואת היותו של הנאשם נעדר בשלות רגשית ובעל קווי אישיות בלתי מגובשים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שירות המבחן לקשייו של הנאשם להכיר במצבו ההתמכרותי ולהכיר במאפייניו האישיותיים שהביאו להסתבכותו עם החוק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בשקלול גורמי הסיכון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הגיע שירות המבחן למסקנה כי מדובר ברמת סיכון גבוהה להישנות התנהגות עבריינית מצדו של הנאשם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נוכח האמור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ועל אף שמדובר בבחור צעיר שזו הסתבכותו הראשונה עם החוק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ובשים לב לפרוגנוזה השיקומית הנמוכה בעיתוי הנוכחי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בא שירות המבחן בהמלצה טיפולית או שיקומית לגבי הנאשם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טיעוני הצדדים לעונש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בטיעוניו לעונש הפנה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המאשימה לחומרה הגלומה בעבירות הנשק על סוגיהן ולצורך בהחמרת הענישה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בענייננו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מדובר בנאשם בגיר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שהבין היטב את מעשיו ואת הפסול שבהם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מדובר במקרה מתוכנן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אלא באירוע שהתפתח כמתואר בכתב האישום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המאשימה הפנתה להנחיית פרקליט המדינה בנוגע לעבירות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כאשר המתחם המתבקש ברגיל בגין עבירה של נשיאה והובלה מתחיל ברף תחתון של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בפועל ומגיע עד </w:t>
      </w:r>
      <w:r>
        <w:rPr>
          <w:rFonts w:eastAsia="Calibri" w:cs="David" w:ascii="David" w:hAnsi="David"/>
        </w:rPr>
        <w:t>48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נאמר כי על אף מגמת ההחמרה בענישה בכל עבירות הנשק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הרי שעיון בפסיקה בנסיבות דומות פחות או יותר ואף במקרים חמורים יותר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מלמד על מנעד ענישה המתחיל ב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ומסתיים ב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בשקלול נסיבותיו של התיק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סבורה המאשימה כי מתחם העונש הראוי במקרה דנא נע בין </w:t>
      </w:r>
      <w:r>
        <w:rPr>
          <w:rFonts w:eastAsia="Calibri" w:cs="David" w:ascii="David" w:hAnsi="David"/>
        </w:rPr>
        <w:t>36-18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את עונשו של הנאשם יש לגזור בחלקו האמצעי של המתחם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בשים לב לכך שמדובר בנאשם נעדר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שהודה ולקח אחריות על מעשיו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תוך חיסכון בזמן שיפוטי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 טענה כי מדובר באירוע ספונטני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במהלכו הביע הנאשם את כאבו ואת צעקתו כנגד החלטת בני משפחתו על אשפוזו בניגוד לרצונו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לדברי הסנגורית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הייתה לנאשם כל כוונה לפגוע במאן דהוא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בוודאי לא באחיו או בבני המשפחה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בסך הכל הוא ביקש להפחידם על מנת למנוע את אשפוזו בעל כורחו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בעודו תחת השפעת סמים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נטען כי הדברים עולים באופן ברור מעובדות כתב האישום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לטענת ההגנה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האירוע הוא ייחודי גם לאור נסיבותיו האישיות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במי שסיים חמש שנות לימוד ומגיל עשר הוא למעשה גידל את עצמו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הוריו לא תפקדו כדמויות חינוכיות ומשמעותיות בחייו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אב לשני ילדים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נעדר כל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שלקח אחריות על מעשיו ומביע חרטה כנה לגביהם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לפיכך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התבקש בית המשפט להסתפק בימי מעצרו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דברו האחרון של הנאשם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משנשאל הנאשם באם הוא רוצה לומר דבר מה לבית המשפט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הוא השיב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אני לא מתנצל ולא כלום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אני לא רוצה לדבר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רוצה את כל החרטה הזו</w:t>
      </w:r>
      <w:r>
        <w:rPr>
          <w:rFonts w:eastAsia="Calibri" w:cs="David" w:ascii="David" w:hAnsi="David"/>
          <w:rtl w:val="true"/>
        </w:rPr>
        <w:t>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דיון והכרעה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קביעת מתחם העונש ההולם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19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בקביעת מתחם העונש ההולם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בית המשפט להתחשב בערכים החברתיים שנפגעו מביצוע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במידת הפגיעה בהם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במדיניות הענישה הנוהגת ובנסיבות הקשורות בביצוע העבירה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קביעתו של מתחם העונש ההולם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המגלם הכרעה ערכית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נעשית בהתאם לעיקרון ההלימה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עיקרון זה מחייב יחס הולם בין חומרת מעשה הנאשם ומידת אשמו של הנאשם לבין העונש המוטל עליו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הערכים המוגנים שנפגעו מביצוע העבירות בענייננו הם בראש ובראשונה הערך של ביטחונו ושלמות גופו של אדם ושל הציבור בכללותו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כן נפגע הערך המוגן של שמירה על שלטון החוק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21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אין צורך להכביר מילים לגבי חומרתן היתרה של העבירות בנשק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הפוגעות בחברה פגיעה אנושה ומסבות לה נזק קשה מנשוא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כבר לפני שנים נאמר כי מדובר בתופעה שהיא בבחינת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מכת מדינה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שיש להילחם בה בכל דרך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תרומתו של בית המשפט למלחמה זו היא על ידי הטלת עונשים מחמירים על כל מי שבוחר לעסוק בנשק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אלא שענייננו שונה מאותם מקרים בהם דנה הפסיקה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שעסקה בעברייני נשק הנוטלים את החוק לידיים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פועלים ללא מורא וזורעים הרס וחורבן בחברה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האירוע מושא כתב האישום התרחש על רקע כעסו של הנאשם על אחיו ובני משפחתו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שביקשו להפנותו בעל כורחו לטיפול גמילה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בהתפרצות ספונטנית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שלא הייתה כרוכה בכל תכנון מוקדם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שהלכה והסלימה עד ששיאה היה בניסיונו ליטול לידיו את הנשק שהיה ברשות הקב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ט אשר ניסה להרגיעו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עובדות כתב האישום מלמדות על כך שאותו קב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ט שהיה בקרבת הנאשם לא חש מאוים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שכן גם לאחר שהנאשם ניסה ליטול את האקדח מרשותו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 הצליח להרגיעו יחד עם מאבטחים שנכחו במקום ולהעבירו לבדיקה רפואית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23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כתוצאה ממעשיו של הנאשם לא נגרם למעשה כל נזק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יחד 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אין לדעת כיצד היה האירוע מסתיים אילו היה הנאשם מצליח ליטול לידיו את האקדח שהיה ברשות הקב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ט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לדעתי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פוטנציאל הנזק שעלול היה להתרחש בנסיבות אלה הוא רב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בבואי לבחון את מדיניות הענישה הנוהגת לגבי עבירת הנשק בה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אציין כי נוכח נסיבותיו הייחודיות של האירוע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נמצאה פסיקה המתייחסת לנסיבות דומות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גזרי הדין שהציגה המאשימה מתייחסים לנסיבות חמורות בהרבה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ובעיקרם הורשעו הנאשמים שם בנשיאה של נשק ולא בניסיון נשיאה כפי שהדבר בענייננו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25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לאחר שבחנתי את הערכים המוגנים שנפגעו כתוצאה מביצוע העבירות ואת נסיבות ביצוען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קובע כי מתחם העונש ההולם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בנסיבותיו הייחודיות של המקרה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נע בין </w:t>
      </w:r>
      <w:r>
        <w:rPr>
          <w:rFonts w:eastAsia="Calibri" w:cs="David" w:ascii="David" w:hAnsi="David"/>
        </w:rPr>
        <w:t>24-10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ascii="David" w:hAnsi="David" w:eastAsia="Calibri"/>
          <w:u w:val="single"/>
          <w:rtl w:val="true"/>
        </w:rPr>
        <w:t>גזירת העונש בתוך המתחם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  <w:u w:val="single"/>
        </w:rPr>
      </w:pPr>
      <w:r>
        <w:rPr>
          <w:rFonts w:eastAsia="Calibri" w:cs="David" w:ascii="David" w:hAnsi="David"/>
          <w:u w:val="single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26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בבואי לגזור את עונשו של הנאשם בתוך המתחם שנקבע 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ראיתי להביא בחשבון את העובדה כי מדובר במי שנעדר כל עבר פלילי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שזו הסתבכותו הראשונה עם החוק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27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בנוסף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הבאתי בחשבון את הודאתו של הנאשם במיוחס לו עוד בטרם החלה שמיעת הראיות בתיק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הודאה זו הביאה לחיסכון בזמן שיפוטי יקר ובנוסף מגלמת נטילת אחריות מצד הנאשם על מעשיו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28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לצד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ניתן להתעלם מהאמור בתסקיר שירות המבחן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ממנו עולה כי הסיכון להישנות מעשים עברייניים מצד הנאשם הינו סיכון גבוה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נוכח התמכרותו לסמים והיעדר מודעות מצדו לחומרת מצבו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המובילה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היתר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להיעדר בשלות להליך טיפולי כלשהו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היעדר בשלותו של הנאשם וחוסר מודעותו למצבו באו לידי ביטוי גם בדברים שאמר משניתנה לו הזכות לומר את המילה האחרונה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 נותר אלא לקוות כי הנאשם ישכיל למצוא את הדרך להיגמל מהתמכרותו ולפתוח דף חדש בחייו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29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בשקלול הנסיבות דלעיל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מצאתי לגזור את עונשו של הנאשם בחלקו התחתון של המתחם שנקבע לגביו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אם כי לא בקצהו התחתון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ascii="David" w:hAnsi="David" w:eastAsia="Calibri"/>
          <w:rtl w:val="true"/>
        </w:rPr>
        <w:t>סיכומו של דבר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אני גוזר על הנאשם את העונשים הבאים</w:t>
      </w:r>
      <w:r>
        <w:rPr>
          <w:rFonts w:eastAsia="Calibri" w:cs="David" w:ascii="David" w:hAnsi="David"/>
          <w:rtl w:val="true"/>
        </w:rPr>
        <w:t xml:space="preserve">: 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א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לריצוי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שמניינם יחל ממועד מעצרו ביום </w:t>
      </w:r>
      <w:r>
        <w:rPr>
          <w:rFonts w:eastAsia="Calibri" w:cs="David" w:ascii="David" w:hAnsi="David"/>
        </w:rPr>
        <w:t>26.11.2022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כל עבירת נשק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  <w:tab/>
      </w:r>
      <w:r>
        <w:rPr>
          <w:rFonts w:ascii="David" w:hAnsi="David" w:eastAsia="Calibri"/>
          <w:rtl w:val="true"/>
        </w:rPr>
        <w:t>ג</w:t>
      </w:r>
      <w:r>
        <w:rPr>
          <w:rFonts w:eastAsia="Calibri" w:cs="David" w:ascii="David" w:hAnsi="David"/>
          <w:rtl w:val="true"/>
        </w:rPr>
        <w:t>.</w:t>
        <w:tab/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על תנאי לבל יעבור משך שלוש שנים עבירת איומים ויורשע בגינה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eastAsia="Calibri" w:cs="David" w:ascii="David" w:hAnsi="David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</w:tabs>
        <w:spacing w:lineRule="auto" w:line="360"/>
        <w:ind w:hanging="567" w:start="567" w:end="0"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זכות ערעור לבית המשפט העליון תוך </w:t>
      </w:r>
      <w:r>
        <w:rPr>
          <w:rFonts w:eastAsia="Calibri" w:cs="David" w:ascii="David" w:hAnsi="David"/>
        </w:rPr>
        <w:t>45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אב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יולי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הנוכחים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אמיר טובי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187" w:top="1701" w:footer="720" w:bottom="1701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7311-12-22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סאלח סואעד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5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25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92" TargetMode="External"/><Relationship Id="rId10" Type="http://schemas.openxmlformats.org/officeDocument/2006/relationships/hyperlink" Target="http://www.nevo.co.il/advertisements/nevo-100.doc" TargetMode="Externa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2024-08-26T14:21:00Z</dcterms:created>
  <dc:creator> </dc:creator>
  <dc:description/>
  <cp:keywords/>
  <dc:language>en-IL</dc:language>
  <cp:lastModifiedBy>h1</cp:lastModifiedBy>
  <dcterms:modified xsi:type="dcterms:W3CDTF">2024-08-26T14:21:00Z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סאלח סואעד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חי'</vt:lpwstr>
  </property>
  <property fmtid="{D5CDD505-2E9C-101B-9397-08002B2CF9AE}" pid="9" name="DATE">
    <vt:lpwstr>20230719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אמיר טובי</vt:lpwstr>
  </property>
  <property fmtid="{D5CDD505-2E9C-101B-9397-08002B2CF9AE}" pid="13" name="LAWLISTTMP1">
    <vt:lpwstr>70301/144.b;025;192</vt:lpwstr>
  </property>
  <property fmtid="{D5CDD505-2E9C-101B-9397-08002B2CF9AE}" pid="14" name="LAWYER">
    <vt:lpwstr>שרון אדרי;אנגאם ספייה קנדלפת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7311</vt:lpwstr>
  </property>
  <property fmtid="{D5CDD505-2E9C-101B-9397-08002B2CF9AE}" pid="21" name="NEWPARTB">
    <vt:lpwstr>12</vt:lpwstr>
  </property>
  <property fmtid="{D5CDD505-2E9C-101B-9397-08002B2CF9AE}" pid="22" name="NEWPARTC">
    <vt:lpwstr>22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390020230719</vt:lpwstr>
  </property>
  <property fmtid="{D5CDD505-2E9C-101B-9397-08002B2CF9AE}" pid="33" name="TYPE_N_DATE">
    <vt:lpwstr>39020230719</vt:lpwstr>
  </property>
  <property fmtid="{D5CDD505-2E9C-101B-9397-08002B2CF9AE}" pid="34" name="VOLUME">
    <vt:lpwstr/>
  </property>
  <property fmtid="{D5CDD505-2E9C-101B-9397-08002B2CF9AE}" pid="35" name="WORDNUMPAGES">
    <vt:lpwstr>6</vt:lpwstr>
  </property>
</Properties>
</file>