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0"/>
        <w:gridCol w:w="480"/>
        <w:gridCol w:w="183"/>
        <w:gridCol w:w="2217"/>
        <w:gridCol w:w="3162"/>
      </w:tblGrid>
      <w:tr>
        <w:trPr>
          <w:trHeight w:val="418" w:hRule="exact"/>
        </w:trPr>
        <w:tc>
          <w:tcPr>
            <w:tcW w:w="564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בקריות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76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7581-04-09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דוידוב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63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21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דרור דוידוב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גושן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הובא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נוה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הודה בעובדות שבכתב 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לפיכך </w:t>
      </w:r>
      <w:r>
        <w:rPr>
          <w:rtl w:val="true"/>
        </w:rPr>
        <w:t xml:space="preserve">- </w:t>
      </w:r>
      <w:r>
        <w:rPr>
          <w:rtl w:val="true"/>
        </w:rPr>
        <w:t>הנני מרשיעה את הנאשם בעבירה</w:t>
      </w:r>
      <w:r>
        <w:rPr>
          <w:rtl w:val="true"/>
        </w:rPr>
        <w:t>/</w:t>
      </w:r>
      <w:r>
        <w:rPr>
          <w:rtl w:val="true"/>
        </w:rPr>
        <w:t>ות שיוחסה</w:t>
      </w:r>
      <w:r>
        <w:rPr>
          <w:rtl w:val="true"/>
        </w:rPr>
        <w:t>/</w:t>
      </w:r>
      <w:r>
        <w:rPr>
          <w:rtl w:val="true"/>
        </w:rPr>
        <w:t>ו לו בכתב 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16/06/2009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קנטור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start"/>
        <w:rPr/>
      </w:pPr>
      <w:bookmarkStart w:id="7" w:name="ABSTRACT_START"/>
      <w:bookmarkEnd w:id="7"/>
      <w:r>
        <w:rPr>
          <w:rtl w:val="true"/>
        </w:rPr>
        <w:t>הנאשם הורשע בעבירה של –</w:t>
      </w:r>
      <w:r>
        <w:rPr>
          <w:rtl w:val="true"/>
        </w:rPr>
        <w:t xml:space="preserve"> החזקת נשק שלא כדין</w:t>
      </w:r>
      <w:r>
        <w:rPr>
          <w:rtl w:val="true"/>
        </w:rPr>
        <w:t xml:space="preserve">, </w:t>
      </w:r>
      <w:r>
        <w:rPr>
          <w:rtl w:val="true"/>
        </w:rPr>
        <w:t>החזקת תחמושת שלא כדין</w:t>
      </w:r>
      <w:r>
        <w:rPr>
          <w:rtl w:val="true"/>
        </w:rPr>
        <w:t xml:space="preserve">, </w:t>
      </w:r>
      <w:r>
        <w:rPr>
          <w:rtl w:val="true"/>
        </w:rPr>
        <w:t>החזקת סמים מסוכנים בכמות המוחזקת ככמות שאיננה לצריכה עצמית והחזקת כלים לצריכת סם שאיננה לצריכה 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bookmarkStart w:id="8" w:name="ABSTRACT_END"/>
      <w:bookmarkEnd w:id="8"/>
      <w:r>
        <w:rPr>
          <w:rtl w:val="true"/>
        </w:rPr>
        <w:t>הנאשם הודה בהזדמנות הראשונה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לחובתו הרשעות קודמות רבות</w:t>
      </w:r>
      <w:r>
        <w:rPr>
          <w:rtl w:val="true"/>
        </w:rPr>
        <w:t xml:space="preserve">, </w:t>
      </w:r>
      <w:r>
        <w:rPr>
          <w:rtl w:val="true"/>
        </w:rPr>
        <w:t>על אף גילו הצעיר</w:t>
      </w:r>
      <w:r>
        <w:rPr>
          <w:rtl w:val="true"/>
        </w:rPr>
        <w:t xml:space="preserve">: </w:t>
      </w:r>
      <w:r>
        <w:rPr>
          <w:rtl w:val="true"/>
        </w:rPr>
        <w:t>הרשעות בעבירות אלימות</w:t>
      </w:r>
      <w:r>
        <w:rPr>
          <w:rtl w:val="true"/>
        </w:rPr>
        <w:t xml:space="preserve">, </w:t>
      </w:r>
      <w:r>
        <w:rPr>
          <w:rtl w:val="true"/>
        </w:rPr>
        <w:t>החזקת סכין</w:t>
      </w:r>
      <w:r>
        <w:rPr>
          <w:rtl w:val="true"/>
        </w:rPr>
        <w:t xml:space="preserve">, </w:t>
      </w:r>
      <w:r>
        <w:rPr>
          <w:rtl w:val="true"/>
        </w:rPr>
        <w:t>עבירות רכוש הכרוכות ברכב</w:t>
      </w:r>
      <w:r>
        <w:rPr>
          <w:rtl w:val="true"/>
        </w:rPr>
        <w:t xml:space="preserve">, </w:t>
      </w:r>
      <w:r>
        <w:rPr>
          <w:rtl w:val="true"/>
        </w:rPr>
        <w:t>עבירות סמים</w:t>
      </w:r>
      <w:r>
        <w:rPr>
          <w:rtl w:val="true"/>
        </w:rPr>
        <w:t xml:space="preserve">, </w:t>
      </w:r>
      <w:r>
        <w:rPr>
          <w:rtl w:val="true"/>
        </w:rPr>
        <w:t>איומים והעלבת עובד צבור</w:t>
      </w:r>
      <w:r>
        <w:rPr>
          <w:rtl w:val="true"/>
        </w:rPr>
        <w:t xml:space="preserve">, </w:t>
      </w:r>
      <w:r>
        <w:rPr>
          <w:rtl w:val="true"/>
        </w:rPr>
        <w:t>והוא אף ריצה מספר עונשי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 ניתן שלא לגזור מאסר בגין העבירות שעבר הנאשם</w:t>
      </w:r>
      <w:r>
        <w:rPr>
          <w:rtl w:val="true"/>
        </w:rPr>
        <w:t xml:space="preserve">, </w:t>
      </w:r>
      <w:r>
        <w:rPr>
          <w:rtl w:val="true"/>
        </w:rPr>
        <w:t>אשר החזיק נשק</w:t>
      </w:r>
      <w:r>
        <w:rPr>
          <w:rtl w:val="true"/>
        </w:rPr>
        <w:t xml:space="preserve">, </w:t>
      </w:r>
      <w:r>
        <w:rPr>
          <w:rtl w:val="true"/>
        </w:rPr>
        <w:t>שפגיעתו עשויה להיות רעה ויש לו פוטנציאל להמית</w:t>
      </w:r>
      <w:r>
        <w:rPr>
          <w:rtl w:val="true"/>
        </w:rPr>
        <w:t xml:space="preserve">, </w:t>
      </w:r>
      <w:r>
        <w:rPr>
          <w:rtl w:val="true"/>
        </w:rPr>
        <w:t>לפצוע או לחבול בצורה 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לאור נסיבות החזקת הנשק</w:t>
      </w:r>
      <w:r>
        <w:rPr>
          <w:rtl w:val="true"/>
        </w:rPr>
        <w:t xml:space="preserve">, </w:t>
      </w:r>
      <w:r>
        <w:rPr>
          <w:rtl w:val="true"/>
        </w:rPr>
        <w:t>העדר האפשרות לסתור את גרסת הנאשם כי מצא את הנשק</w:t>
      </w:r>
      <w:r>
        <w:rPr>
          <w:rtl w:val="true"/>
        </w:rPr>
        <w:t xml:space="preserve">, </w:t>
      </w:r>
      <w:r>
        <w:rPr>
          <w:rtl w:val="true"/>
        </w:rPr>
        <w:t>העובדה כי החזיק בסה</w:t>
      </w:r>
      <w:r>
        <w:rPr>
          <w:rtl w:val="true"/>
        </w:rPr>
        <w:t>"</w:t>
      </w:r>
      <w:r>
        <w:rPr>
          <w:rtl w:val="true"/>
        </w:rPr>
        <w:t>כ בשני כדורים חיים בלבד כתחמושת עבור הנשק</w:t>
      </w:r>
      <w:r>
        <w:rPr>
          <w:rtl w:val="true"/>
        </w:rPr>
        <w:t xml:space="preserve">, </w:t>
      </w:r>
      <w:r>
        <w:rPr>
          <w:rtl w:val="true"/>
        </w:rPr>
        <w:t xml:space="preserve">כמות הסם שהוחזקה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49.66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נטו של סם מסוג חשיש</w:t>
      </w:r>
      <w:r>
        <w:rPr>
          <w:rtl w:val="true"/>
        </w:rPr>
        <w:t xml:space="preserve">, </w:t>
      </w:r>
      <w:r>
        <w:rPr>
          <w:rtl w:val="true"/>
        </w:rPr>
        <w:t>אני סבורה כי ניתן להסתפק בתקופת מאסר קצובה</w:t>
      </w:r>
      <w:r>
        <w:rPr>
          <w:rtl w:val="true"/>
        </w:rPr>
        <w:t xml:space="preserve">, </w:t>
      </w:r>
      <w:r>
        <w:rPr>
          <w:rtl w:val="true"/>
        </w:rPr>
        <w:t>מדודה</w:t>
      </w:r>
      <w:r>
        <w:rPr>
          <w:rtl w:val="true"/>
        </w:rPr>
        <w:t xml:space="preserve">, </w:t>
      </w:r>
      <w:r>
        <w:rPr>
          <w:rtl w:val="true"/>
        </w:rPr>
        <w:t>אשר יהא מחד גיסא להמחיש לנאשם את חומרת מעשיו ולהרתיעו ומאידך גיסא</w:t>
      </w:r>
      <w:r>
        <w:rPr>
          <w:rtl w:val="true"/>
        </w:rPr>
        <w:t xml:space="preserve">, </w:t>
      </w:r>
      <w:r>
        <w:rPr>
          <w:rtl w:val="true"/>
        </w:rPr>
        <w:t>תיקח בחשבון את ההודאה בהזדמנות הראשונה ואת נסיבותיו 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אני דנה את הנאשם למאסר בפועל לתקופה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חודשים שיחושבו מיום מעצרו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16.4.09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אני דנה את הנאשם למאסר על תנאי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 xml:space="preserve">והתנאי הוא </w:t>
      </w:r>
      <w:r>
        <w:rPr>
          <w:rtl w:val="true"/>
        </w:rPr>
        <w:t xml:space="preserve">- </w:t>
      </w:r>
      <w:r>
        <w:rPr>
          <w:rtl w:val="true"/>
        </w:rPr>
        <w:t xml:space="preserve">כי לא יעבור עבירה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ועבירת פשע בנגוד ל</w:t>
      </w:r>
      <w:hyperlink r:id="rId3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אני דנה את הנאשם למאסר על תנאי 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 xml:space="preserve">והתנאי הוא </w:t>
      </w:r>
      <w:r>
        <w:rPr>
          <w:rtl w:val="true"/>
        </w:rPr>
        <w:t xml:space="preserve">- </w:t>
      </w:r>
      <w:r>
        <w:rPr>
          <w:rtl w:val="true"/>
        </w:rPr>
        <w:t xml:space="preserve">כי לא יעבור עבירה </w:t>
      </w:r>
      <w:r>
        <w:rPr>
          <w:rtl w:val="true"/>
        </w:rPr>
        <w:t>מסוג עוון בנגוד ל</w:t>
      </w:r>
      <w:hyperlink r:id="rId4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המוצגים יושמדו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סיון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16/06/2009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אורית קנטור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קנטור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מואטי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סיגל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/Users/liorb/Downloads/study2025-p2/SH-09-04-7581-932.doc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קריות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7581-04-09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דרור דוידוב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7581-04-09"/>
    <w:docVar w:name="caseId" w:val="15196471"/>
    <w:docVar w:name="deriveClass" w:val="NGCS.Protocol.BL.Client.ProtocolBLClientCriminal"/>
    <w:docVar w:name="firstPageNumber" w:val="6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66453"/>
    <w:docVar w:name="releaseSign" w:val="0"/>
    <w:docVar w:name="sittingDateTime" w:val="16/06/2009 09:30     "/>
    <w:docVar w:name="sittingId" w:val="15562043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360"/>
    </w:pPr>
    <w:rPr>
      <w:rFonts w:ascii="Times New Roman" w:hAnsi="Times New Roman" w:eastAsia="Times New Roman" w:cs="Times New Roman"/>
      <w:b/>
      <w:bCs/>
      <w:sz w:val="20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P170_001.htm" TargetMode="External"/><Relationship Id="rId4" Type="http://schemas.openxmlformats.org/officeDocument/2006/relationships/hyperlink" Target="http://www.nevo.co.il/law_html/law01/P170_001.ht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2009-06-17T00:57:00Z</dcterms:created>
  <dc:creator> </dc:creator>
  <dc:description/>
  <cp:keywords/>
  <dc:language>en-IL</dc:language>
  <cp:lastModifiedBy>hofit</cp:lastModifiedBy>
  <cp:lastPrinted>2009-06-16T12:56:00Z</cp:lastPrinted>
  <dcterms:modified xsi:type="dcterms:W3CDTF">2009-06-17T10:00:00Z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דרור דוידוב </vt:lpwstr>
  </property>
  <property fmtid="{D5CDD505-2E9C-101B-9397-08002B2CF9AE}" pid="4" name="CITY">
    <vt:lpwstr>קריות</vt:lpwstr>
  </property>
  <property fmtid="{D5CDD505-2E9C-101B-9397-08002B2CF9AE}" pid="5" name="DATE">
    <vt:lpwstr>20090616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אורית קנטור</vt:lpwstr>
  </property>
  <property fmtid="{D5CDD505-2E9C-101B-9397-08002B2CF9AE}" pid="9" name="LAWYER">
    <vt:lpwstr>גושן;נוה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7581</vt:lpwstr>
  </property>
  <property fmtid="{D5CDD505-2E9C-101B-9397-08002B2CF9AE}" pid="23" name="NEWPARTB">
    <vt:lpwstr>04</vt:lpwstr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380020090616</vt:lpwstr>
  </property>
  <property fmtid="{D5CDD505-2E9C-101B-9397-08002B2CF9AE}" pid="35" name="TYPE_N_DATE">
    <vt:lpwstr>38020090616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