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973"/>
        <w:gridCol w:w="1068"/>
        <w:gridCol w:w="3679"/>
      </w:tblGrid>
      <w:tr>
        <w:trPr>
          <w:trHeight w:val="418" w:hRule="exact"/>
        </w:trPr>
        <w:tc>
          <w:tcPr>
            <w:tcW w:w="8720" w:type="dxa"/>
            <w:gridSpan w:val="3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center"/>
              <w:rPr>
                <w:rFonts w:ascii="Tahoma" w:hAnsi="Tahoma" w:cs="Tahoma"/>
                <w:b/>
                <w:bCs/>
                <w:color w:val="000080"/>
                <w:sz w:val="22"/>
                <w:szCs w:val="22"/>
              </w:rPr>
            </w:pPr>
            <w:r>
              <w:rPr>
                <w:rFonts w:ascii="Tahoma" w:hAnsi="Tahoma" w:cs="Tahoma"/>
                <w:b/>
                <w:b/>
                <w:bCs/>
                <w:color w:val="000080"/>
                <w:sz w:val="22"/>
                <w:sz w:val="22"/>
                <w:szCs w:val="22"/>
                <w:rtl w:val="true"/>
              </w:rPr>
              <w:t>בית המשפט המחוזי מרכז</w:t>
            </w:r>
            <w:r>
              <w:rPr>
                <w:rFonts w:cs="Tahoma" w:ascii="Tahoma" w:hAnsi="Tahoma"/>
                <w:b/>
                <w:bCs/>
                <w:color w:val="000080"/>
                <w:sz w:val="22"/>
                <w:szCs w:val="22"/>
                <w:rtl w:val="true"/>
              </w:rPr>
              <w:t>-</w:t>
            </w:r>
            <w:r>
              <w:rPr>
                <w:rFonts w:ascii="Tahoma" w:hAnsi="Tahoma" w:cs="Tahoma"/>
                <w:b/>
                <w:b/>
                <w:bCs/>
                <w:color w:val="000080"/>
                <w:sz w:val="22"/>
                <w:sz w:val="22"/>
                <w:szCs w:val="22"/>
                <w:rtl w:val="true"/>
              </w:rPr>
              <w:t>לוד</w:t>
            </w:r>
          </w:p>
        </w:tc>
      </w:tr>
      <w:tr>
        <w:trPr>
          <w:trHeight w:val="337" w:hRule="atLeast"/>
        </w:trPr>
        <w:tc>
          <w:tcPr>
            <w:tcW w:w="3973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</w:rPr>
              <w:t>7658-05-14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 נ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דאוד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1068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3679" w:type="dxa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08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יוני </w:t>
            </w:r>
            <w:r>
              <w:rPr>
                <w:b/>
                <w:bCs/>
                <w:sz w:val="26"/>
                <w:szCs w:val="26"/>
              </w:rPr>
              <w:t>2015</w:t>
            </w:r>
          </w:p>
          <w:p>
            <w:pPr>
              <w:pStyle w:val="Header"/>
              <w:tabs>
                <w:tab w:val="clear" w:pos="720"/>
              </w:tabs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504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915"/>
        <w:gridCol w:w="2589"/>
      </w:tblGrid>
      <w:tr>
        <w:trPr>
          <w:trHeight w:val="337" w:hRule="atLeast"/>
        </w:trPr>
        <w:tc>
          <w:tcPr>
            <w:tcW w:w="5915" w:type="dxa"/>
            <w:tcBorders/>
          </w:tcPr>
          <w:p>
            <w:pPr>
              <w:pStyle w:val="Normal"/>
              <w:spacing w:lineRule="auto" w:line="360"/>
              <w:ind w:end="0"/>
              <w:jc w:val="start"/>
              <w:rPr/>
            </w:pPr>
            <w:r>
              <w:rPr>
                <w:b/>
                <w:bCs/>
                <w:sz w:val="26"/>
                <w:szCs w:val="26"/>
                <w:rtl w:val="true"/>
              </w:rPr>
              <w:t xml:space="preserve"> 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לפני כב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שופטת רות לורך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,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סג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נ </w:t>
            </w:r>
          </w:p>
        </w:tc>
        <w:tc>
          <w:tcPr>
            <w:tcW w:w="2589" w:type="dxa"/>
            <w:tcBorders/>
          </w:tcPr>
          <w:p>
            <w:pPr>
              <w:pStyle w:val="Header"/>
              <w:snapToGrid w:val="false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vanish/>
        </w:rPr>
      </w:pPr>
      <w:r>
        <w:rPr>
          <w:vanish/>
          <w:rtl w:val="true"/>
        </w:rPr>
      </w:r>
      <w:bookmarkStart w:id="0" w:name="LastJudge"/>
      <w:bookmarkStart w:id="1" w:name="LastJudge"/>
      <w:bookmarkEnd w:id="1"/>
    </w:p>
    <w:p>
      <w:pPr>
        <w:pStyle w:val="Normal"/>
        <w:ind w:end="0"/>
        <w:jc w:val="start"/>
        <w:rPr>
          <w:rStyle w:val="LineNumber"/>
          <w:rFonts w:ascii="Arial" w:hAnsi="Arial" w:cs="David"/>
          <w:szCs w:val="24"/>
        </w:rPr>
      </w:pPr>
      <w:r>
        <w:rPr>
          <w:rFonts w:cs="Arial"/>
          <w:vanish/>
          <w:rtl w:val="true"/>
        </w:rPr>
      </w:r>
    </w:p>
    <w:tbl>
      <w:tblPr>
        <w:bidiVisual w:val="true"/>
        <w:tblW w:w="8802" w:type="dxa"/>
        <w:jc w:val="start"/>
        <w:tblInd w:w="-54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40"/>
        <w:gridCol w:w="5562"/>
      </w:tblGrid>
      <w:tr>
        <w:trPr/>
        <w:tc>
          <w:tcPr>
            <w:tcW w:w="3240" w:type="dxa"/>
            <w:tcBorders/>
          </w:tcPr>
          <w:p>
            <w:pPr>
              <w:pStyle w:val="Normal"/>
              <w:ind w:start="26" w:end="0"/>
              <w:jc w:val="start"/>
              <w:rPr/>
            </w:pPr>
            <w:bookmarkStart w:id="2" w:name="FirstAppellant"/>
            <w:bookmarkEnd w:id="2"/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מאשימה</w:t>
            </w:r>
          </w:p>
        </w:tc>
        <w:tc>
          <w:tcPr>
            <w:tcW w:w="5562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</w:p>
        </w:tc>
      </w:tr>
      <w:tr>
        <w:trPr/>
        <w:tc>
          <w:tcPr>
            <w:tcW w:w="8802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eastAsia="Times New Roman" w:cs="Arial"/>
                <w:b/>
                <w:bCs/>
                <w:sz w:val="26"/>
                <w:szCs w:val="26"/>
              </w:rPr>
            </w:pPr>
            <w:r>
              <w:rPr>
                <w:rFonts w:eastAsia="Times New Roman"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eastAsia="Times New Roman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eastAsia="Times New Roman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center"/>
              <w:rPr>
                <w:rFonts w:ascii="Arial" w:hAnsi="Arial" w:eastAsia="Times New Roman" w:cs="Arial"/>
                <w:b/>
                <w:bCs/>
                <w:sz w:val="26"/>
                <w:szCs w:val="26"/>
              </w:rPr>
            </w:pPr>
            <w:r>
              <w:rPr>
                <w:rFonts w:eastAsia="Times New Roman"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3240" w:type="dxa"/>
            <w:tcBorders/>
          </w:tcPr>
          <w:p>
            <w:pPr>
              <w:pStyle w:val="Normal"/>
              <w:ind w:start="26" w:end="0"/>
              <w:jc w:val="start"/>
              <w:rPr/>
            </w:pP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נאשם</w:t>
            </w:r>
          </w:p>
        </w:tc>
        <w:tc>
          <w:tcPr>
            <w:tcW w:w="5562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חאלד דאוד </w:t>
            </w:r>
          </w:p>
        </w:tc>
      </w:tr>
    </w:tbl>
    <w:p>
      <w:pPr>
        <w:pStyle w:val="12"/>
        <w:ind w:end="0"/>
        <w:jc w:val="start"/>
        <w:rPr>
          <w:u w:val="none"/>
        </w:rPr>
      </w:pPr>
      <w:r>
        <w:rPr>
          <w:u w:val="none"/>
          <w:rtl w:val="true"/>
        </w:rPr>
        <w:t>נוכחים</w:t>
      </w:r>
      <w:r>
        <w:rPr>
          <w:u w:val="none"/>
          <w:rtl w:val="true"/>
        </w:rPr>
        <w:t>:</w:t>
      </w:r>
    </w:p>
    <w:p>
      <w:pPr>
        <w:pStyle w:val="12"/>
        <w:ind w:end="0"/>
        <w:jc w:val="start"/>
        <w:rPr>
          <w:u w:val="none"/>
        </w:rPr>
      </w:pPr>
      <w:bookmarkStart w:id="3" w:name="FirstLawyer"/>
      <w:r>
        <w:rPr>
          <w:u w:val="none"/>
          <w:rtl w:val="true"/>
        </w:rPr>
        <w:t>ב</w:t>
      </w:r>
      <w:r>
        <w:rPr>
          <w:u w:val="none"/>
          <w:rtl w:val="true"/>
        </w:rPr>
        <w:t>"</w:t>
      </w:r>
      <w:r>
        <w:rPr>
          <w:u w:val="none"/>
          <w:rtl w:val="true"/>
        </w:rPr>
        <w:t>כ</w:t>
      </w:r>
      <w:bookmarkEnd w:id="3"/>
      <w:r>
        <w:rPr>
          <w:u w:val="none"/>
          <w:rtl w:val="true"/>
        </w:rPr>
        <w:t xml:space="preserve"> המאשימה עו</w:t>
      </w:r>
      <w:r>
        <w:rPr>
          <w:u w:val="none"/>
          <w:rtl w:val="true"/>
        </w:rPr>
        <w:t>"</w:t>
      </w:r>
      <w:r>
        <w:rPr>
          <w:u w:val="none"/>
          <w:rtl w:val="true"/>
        </w:rPr>
        <w:t>ד שרון משעל</w:t>
      </w:r>
    </w:p>
    <w:p>
      <w:pPr>
        <w:pStyle w:val="12"/>
        <w:ind w:end="0"/>
        <w:jc w:val="start"/>
        <w:rPr>
          <w:u w:val="none"/>
        </w:rPr>
      </w:pPr>
      <w:r>
        <w:rPr>
          <w:u w:val="none"/>
          <w:rtl w:val="true"/>
        </w:rPr>
        <w:t>ב</w:t>
      </w:r>
      <w:r>
        <w:rPr>
          <w:u w:val="none"/>
          <w:rtl w:val="true"/>
        </w:rPr>
        <w:t>"</w:t>
      </w:r>
      <w:r>
        <w:rPr>
          <w:u w:val="none"/>
          <w:rtl w:val="true"/>
        </w:rPr>
        <w:t>כ הנאשם עו</w:t>
      </w:r>
      <w:r>
        <w:rPr>
          <w:u w:val="none"/>
          <w:rtl w:val="true"/>
        </w:rPr>
        <w:t>"</w:t>
      </w:r>
      <w:r>
        <w:rPr>
          <w:u w:val="none"/>
          <w:rtl w:val="true"/>
        </w:rPr>
        <w:t>ד לאה צמל</w:t>
      </w:r>
    </w:p>
    <w:p>
      <w:pPr>
        <w:pStyle w:val="12"/>
        <w:ind w:end="0"/>
        <w:jc w:val="start"/>
        <w:rPr>
          <w:u w:val="none"/>
        </w:rPr>
      </w:pPr>
      <w:r>
        <w:rPr>
          <w:u w:val="none"/>
          <w:rtl w:val="true"/>
        </w:rPr>
        <w:t>הנאשם הובא באמצעות שב</w:t>
      </w:r>
      <w:r>
        <w:rPr>
          <w:u w:val="none"/>
          <w:rtl w:val="true"/>
        </w:rPr>
        <w:t>"</w:t>
      </w:r>
      <w:r>
        <w:rPr>
          <w:u w:val="none"/>
          <w:rtl w:val="true"/>
        </w:rPr>
        <w:t>ס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25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</w:rPr>
          <w:t>29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2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u w:val="single"/>
          </w:rPr>
          <w:t>499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4" w:name="LawTable"/>
      <w:bookmarkStart w:id="5" w:name="LawTable"/>
      <w:bookmarkEnd w:id="5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7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8">
        <w:r>
          <w:rPr>
            <w:rStyle w:val="Hyperlink"/>
            <w:rFonts w:cs="FrankRuehl" w:ascii="FrankRuehl" w:hAnsi="FrankRuehl"/>
            <w:color w:val="0000FF"/>
            <w:u w:val="single"/>
          </w:rPr>
          <w:t>25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  <w:u w:val="single"/>
          </w:rPr>
          <w:t>29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2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  <w:color w:val="0000FF"/>
            <w:u w:val="single"/>
          </w:rPr>
          <w:t>499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FrankRuehl"/>
          <w:szCs w:val="26"/>
        </w:rPr>
      </w:pPr>
      <w:bookmarkStart w:id="6" w:name="ABSTRACT_START"/>
      <w:bookmarkStart w:id="7" w:name="LawTable_End"/>
      <w:bookmarkEnd w:id="6"/>
      <w:bookmarkEnd w:id="7"/>
      <w:r>
        <w:rPr>
          <w:rFonts w:ascii="Times New Roman" w:hAnsi="Times New Roman" w:cs="FrankRuehl"/>
          <w:szCs w:val="26"/>
          <w:rtl w:val="true"/>
        </w:rPr>
        <w:t>מיני</w:t>
      </w:r>
      <w:r>
        <w:rPr>
          <w:rFonts w:cs="FrankRuehl" w:ascii="Times New Roman" w:hAnsi="Times New Roman"/>
          <w:szCs w:val="26"/>
          <w:rtl w:val="true"/>
        </w:rPr>
        <w:t>-</w:t>
      </w:r>
      <w:r>
        <w:rPr>
          <w:rFonts w:ascii="Times New Roman" w:hAnsi="Times New Roman" w:cs="FrankRuehl"/>
          <w:szCs w:val="26"/>
          <w:rtl w:val="true"/>
        </w:rPr>
        <w:t>רציו</w:t>
      </w:r>
      <w:r>
        <w:rPr>
          <w:rFonts w:cs="FrankRuehl" w:ascii="Times New Roman" w:hAnsi="Times New Roman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 w:ascii="Times New Roman" w:hAnsi="Times New Roman"/>
          <w:szCs w:val="26"/>
          <w:rtl w:val="true"/>
        </w:rPr>
        <w:t xml:space="preserve">* </w:t>
      </w:r>
      <w:r>
        <w:rPr>
          <w:rFonts w:ascii="Times New Roman" w:hAnsi="Times New Roman" w:cs="FrankRuehl"/>
          <w:szCs w:val="26"/>
          <w:rtl w:val="true"/>
        </w:rPr>
        <w:t>בית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המשפט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גזר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את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דינו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של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נאשם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שהורשע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בקשירת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קשר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לביצוע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פיגוע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וניסיון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לייצור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נשק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בצוותא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במסגרת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חברותו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בחוליית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טרור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והשית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עליו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cs="FrankRuehl" w:ascii="Times New Roman" w:hAnsi="Times New Roman"/>
          <w:szCs w:val="26"/>
        </w:rPr>
        <w:t>28</w:t>
      </w:r>
      <w:r>
        <w:rPr>
          <w:rFonts w:cs="FrankRuehl" w:ascii="Times New Roman" w:hAnsi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חודשי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מאסר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ושני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מאסרים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על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תנאי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–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למשך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cs="FrankRuehl" w:ascii="Times New Roman" w:hAnsi="Times New Roman"/>
          <w:szCs w:val="26"/>
        </w:rPr>
        <w:t>10</w:t>
      </w:r>
      <w:r>
        <w:rPr>
          <w:rFonts w:cs="FrankRuehl" w:ascii="Times New Roman" w:hAnsi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ו</w:t>
      </w:r>
      <w:r>
        <w:rPr>
          <w:rFonts w:cs="FrankRuehl" w:ascii="Times New Roman" w:hAnsi="Times New Roman"/>
          <w:szCs w:val="26"/>
          <w:rtl w:val="true"/>
        </w:rPr>
        <w:t>-</w:t>
      </w:r>
      <w:r>
        <w:rPr>
          <w:rFonts w:cs="FrankRuehl" w:ascii="Times New Roman" w:hAnsi="Times New Roman"/>
          <w:szCs w:val="26"/>
        </w:rPr>
        <w:t>6</w:t>
      </w:r>
      <w:r>
        <w:rPr>
          <w:rFonts w:cs="FrankRuehl" w:ascii="Times New Roman" w:hAnsi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חודשים</w:t>
      </w:r>
      <w:r>
        <w:rPr>
          <w:rFonts w:cs="FrankRuehl" w:ascii="Times New Roman" w:hAnsi="Times New Roman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FrankRuehl"/>
          <w:szCs w:val="26"/>
        </w:rPr>
      </w:pPr>
      <w:r>
        <w:rPr>
          <w:rFonts w:cs="FrankRuehl" w:ascii="Times New Roman" w:hAnsi="Times New Roman"/>
          <w:szCs w:val="26"/>
          <w:rtl w:val="true"/>
        </w:rPr>
        <w:t xml:space="preserve">* </w:t>
      </w:r>
      <w:r>
        <w:rPr>
          <w:rFonts w:ascii="Times New Roman" w:hAnsi="Times New Roman" w:cs="FrankRuehl"/>
          <w:szCs w:val="26"/>
          <w:rtl w:val="true"/>
        </w:rPr>
        <w:t>עונשין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–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ענישה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–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מדיניות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ענישה</w:t>
      </w:r>
      <w:r>
        <w:rPr>
          <w:rFonts w:cs="FrankRuehl" w:ascii="Times New Roman" w:hAnsi="Times New Roman"/>
          <w:szCs w:val="26"/>
          <w:rtl w:val="true"/>
        </w:rPr>
        <w:t xml:space="preserve">: </w:t>
      </w:r>
      <w:r>
        <w:rPr>
          <w:rFonts w:ascii="Times New Roman" w:hAnsi="Times New Roman" w:cs="FrankRuehl"/>
          <w:szCs w:val="26"/>
          <w:rtl w:val="true"/>
        </w:rPr>
        <w:t>עבירות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ביטחון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FrankRuehl"/>
          <w:szCs w:val="26"/>
        </w:rPr>
      </w:pPr>
      <w:r>
        <w:rPr>
          <w:rFonts w:cs="FrankRuehl" w:ascii="Times New Roman" w:hAnsi="Times New Roman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/>
          <w:szCs w:val="26"/>
        </w:rPr>
      </w:pPr>
      <w:r>
        <w:rPr>
          <w:rFonts w:ascii="Times New Roman" w:hAnsi="Times New Roman" w:cs="FrankRuehl"/>
          <w:szCs w:val="26"/>
          <w:rtl w:val="true"/>
        </w:rPr>
        <w:t>הנאשם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הורשע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במסגרת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הסדר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טיעון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בעבירת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קשירת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קשר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לביצוע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פיגוע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וניסיון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לייצור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נשק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בצוותא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חדא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במסגרת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חברותו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בחוליית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טרור</w:t>
      </w:r>
      <w:r>
        <w:rPr>
          <w:rFonts w:cs="FrankRuehl" w:ascii="Times New Roman" w:hAnsi="Times New Roman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FrankRuehl"/>
          <w:szCs w:val="26"/>
        </w:rPr>
      </w:pPr>
      <w:r>
        <w:rPr>
          <w:rFonts w:cs="FrankRuehl" w:ascii="Times New Roman" w:hAnsi="Times New Roman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FrankRuehl"/>
          <w:szCs w:val="26"/>
          <w:rtl w:val="true"/>
        </w:rPr>
        <w:t>בית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המשפט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המחוזי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גזר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את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הדין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ופסק</w:t>
      </w:r>
      <w:r>
        <w:rPr>
          <w:rFonts w:cs="FrankRuehl" w:ascii="Times New Roman" w:hAnsi="Times New Roman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FrankRuehl"/>
          <w:szCs w:val="26"/>
        </w:rPr>
      </w:pPr>
      <w:r>
        <w:rPr>
          <w:rFonts w:ascii="Times New Roman" w:hAnsi="Times New Roman" w:cs="FrankRuehl"/>
          <w:szCs w:val="26"/>
          <w:rtl w:val="true"/>
        </w:rPr>
        <w:t>הערכים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המוגנים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שנפגעו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כתוצאה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ממעשיו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של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הנאשם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הם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ההגנה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על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בטחון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המדינה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ושלום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אזרחיה</w:t>
      </w:r>
      <w:r>
        <w:rPr>
          <w:rFonts w:cs="FrankRuehl" w:ascii="Times New Roman" w:hAnsi="Times New Roman"/>
          <w:szCs w:val="26"/>
          <w:rtl w:val="true"/>
        </w:rPr>
        <w:t xml:space="preserve">. </w:t>
      </w:r>
      <w:r>
        <w:rPr>
          <w:rFonts w:ascii="Times New Roman" w:hAnsi="Times New Roman" w:cs="FrankRuehl"/>
          <w:szCs w:val="26"/>
          <w:rtl w:val="true"/>
        </w:rPr>
        <w:t>אף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שפעילות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חוליית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הטרור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בה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לקח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חלק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הנאשם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לא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צלחה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קשירת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הקשר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והפעולות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שנעשו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לצורך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הוצאתו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אל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הפועל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מהווים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כשלעצמם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פגיעה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של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ממש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בערכים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עליהם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נועדו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עבירות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הביטחון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להגן</w:t>
      </w:r>
      <w:r>
        <w:rPr>
          <w:rFonts w:cs="FrankRuehl" w:ascii="Times New Roman" w:hAnsi="Times New Roman"/>
          <w:szCs w:val="26"/>
          <w:rtl w:val="true"/>
        </w:rPr>
        <w:t xml:space="preserve">. </w:t>
      </w:r>
      <w:r>
        <w:rPr>
          <w:rFonts w:ascii="Times New Roman" w:hAnsi="Times New Roman" w:cs="FrankRuehl"/>
          <w:szCs w:val="26"/>
          <w:rtl w:val="true"/>
        </w:rPr>
        <w:t>הנזק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הצפוי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מביצוע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העבירה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פיגוע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מטען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חבלה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הינו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נזק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חמור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ורצחני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ביותר</w:t>
      </w:r>
      <w:r>
        <w:rPr>
          <w:rFonts w:cs="FrankRuehl" w:ascii="Times New Roman" w:hAnsi="Times New Roman"/>
          <w:szCs w:val="26"/>
          <w:rtl w:val="true"/>
        </w:rPr>
        <w:t xml:space="preserve">. </w:t>
      </w:r>
      <w:r>
        <w:rPr>
          <w:rFonts w:ascii="Times New Roman" w:hAnsi="Times New Roman" w:cs="FrankRuehl"/>
          <w:szCs w:val="26"/>
          <w:rtl w:val="true"/>
        </w:rPr>
        <w:t>בנסיבות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העניין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מתחם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העונש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ההולם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את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העבירות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בהן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הורשע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הנאשם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נע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בין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cs="FrankRuehl" w:ascii="Times New Roman" w:hAnsi="Times New Roman"/>
          <w:szCs w:val="26"/>
        </w:rPr>
        <w:t>15</w:t>
      </w:r>
      <w:r>
        <w:rPr>
          <w:rFonts w:cs="FrankRuehl" w:ascii="Times New Roman" w:hAnsi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ל</w:t>
      </w:r>
      <w:r>
        <w:rPr>
          <w:rFonts w:cs="FrankRuehl" w:ascii="Times New Roman" w:hAnsi="Times New Roman"/>
          <w:szCs w:val="26"/>
          <w:rtl w:val="true"/>
        </w:rPr>
        <w:t>-</w:t>
      </w:r>
      <w:r>
        <w:rPr>
          <w:rFonts w:cs="FrankRuehl" w:ascii="Times New Roman" w:hAnsi="Times New Roman"/>
          <w:szCs w:val="26"/>
        </w:rPr>
        <w:t>40</w:t>
      </w:r>
      <w:r>
        <w:rPr>
          <w:rFonts w:cs="FrankRuehl" w:ascii="Times New Roman" w:hAnsi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חודשי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מאסר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בפועל</w:t>
      </w:r>
      <w:r>
        <w:rPr>
          <w:rFonts w:cs="FrankRuehl" w:ascii="Times New Roman" w:hAnsi="Times New Roman"/>
          <w:szCs w:val="26"/>
          <w:rtl w:val="true"/>
        </w:rPr>
        <w:t xml:space="preserve">. </w:t>
      </w:r>
      <w:r>
        <w:rPr>
          <w:rFonts w:ascii="Times New Roman" w:hAnsi="Times New Roman" w:cs="FrankRuehl"/>
          <w:szCs w:val="26"/>
          <w:rtl w:val="true"/>
        </w:rPr>
        <w:t>בהתחשב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בשיקולים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השונים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הושתו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על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הנאשם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cs="FrankRuehl" w:ascii="Times New Roman" w:hAnsi="Times New Roman"/>
          <w:szCs w:val="26"/>
        </w:rPr>
        <w:t>28</w:t>
      </w:r>
      <w:r>
        <w:rPr>
          <w:rFonts w:cs="FrankRuehl" w:ascii="Times New Roman" w:hAnsi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חודשי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מאסר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בניכוי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מעצרו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ושני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מאסרים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על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תנאי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–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למשך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cs="FrankRuehl" w:ascii="Times New Roman" w:hAnsi="Times New Roman"/>
          <w:szCs w:val="26"/>
        </w:rPr>
        <w:t>10</w:t>
      </w:r>
      <w:r>
        <w:rPr>
          <w:rFonts w:cs="FrankRuehl" w:ascii="Times New Roman" w:hAnsi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ו</w:t>
      </w:r>
      <w:r>
        <w:rPr>
          <w:rFonts w:cs="FrankRuehl" w:ascii="Times New Roman" w:hAnsi="Times New Roman"/>
          <w:szCs w:val="26"/>
          <w:rtl w:val="true"/>
        </w:rPr>
        <w:t>-</w:t>
      </w:r>
      <w:r>
        <w:rPr>
          <w:rFonts w:cs="FrankRuehl" w:ascii="Times New Roman" w:hAnsi="Times New Roman"/>
          <w:szCs w:val="26"/>
        </w:rPr>
        <w:t>6</w:t>
      </w:r>
      <w:r>
        <w:rPr>
          <w:rFonts w:cs="FrankRuehl" w:ascii="Times New Roman" w:hAnsi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חודשים</w:t>
      </w:r>
      <w:r>
        <w:rPr>
          <w:rFonts w:cs="FrankRuehl" w:ascii="Times New Roman" w:hAnsi="Times New Roman"/>
          <w:szCs w:val="26"/>
          <w:rtl w:val="true"/>
        </w:rPr>
        <w:t xml:space="preserve">.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Cs w:val="26"/>
        </w:rPr>
      </w:pPr>
      <w:r>
        <w:rPr>
          <w:rFonts w:cs="FrankRuehl" w:ascii="FrankRuehl" w:hAnsi="FrankRuehl"/>
          <w:szCs w:val="26"/>
          <w:rtl w:val="true"/>
        </w:rPr>
      </w:r>
      <w:bookmarkStart w:id="8" w:name="ABSTRACT_END"/>
      <w:bookmarkStart w:id="9" w:name="ABSTRACT_END"/>
      <w:bookmarkEnd w:id="9"/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6"/>
          <w:szCs w:val="6"/>
        </w:rPr>
      </w:pPr>
      <w:r>
        <w:rPr>
          <w:rFonts w:cs="FrankRuehl" w:ascii="FrankRuehl" w:hAnsi="FrankRuehl"/>
          <w:sz w:val="6"/>
          <w:szCs w:val="6"/>
          <w:rtl w:val="true"/>
        </w:rPr>
      </w:r>
    </w:p>
    <w:p>
      <w:pPr>
        <w:pStyle w:val="Normal"/>
        <w:ind w:end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bookmarkStart w:id="10" w:name="PsakDin"/>
      <w:bookmarkEnd w:id="10"/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גזר דין</w:t>
      </w:r>
    </w:p>
    <w:p>
      <w:pPr>
        <w:pStyle w:val="Normal"/>
        <w:ind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</w:r>
      <w:bookmarkStart w:id="11" w:name="PsakDin"/>
      <w:bookmarkStart w:id="12" w:name="PsakDin"/>
      <w:bookmarkEnd w:id="12"/>
    </w:p>
    <w:p>
      <w:pPr>
        <w:pStyle w:val="Style11"/>
        <w:numPr>
          <w:ilvl w:val="0"/>
          <w:numId w:val="2"/>
        </w:numPr>
        <w:bidi w:val="1"/>
        <w:ind w:hanging="567" w:start="567" w:end="0"/>
        <w:jc w:val="both"/>
        <w:rPr>
          <w:b/>
          <w:bCs/>
          <w:u w:val="single"/>
        </w:rPr>
      </w:pPr>
      <w:r>
        <w:rPr>
          <w:rtl w:val="true"/>
        </w:rPr>
        <w:t>הנאשם הורשע על</w:t>
      </w:r>
      <w:r>
        <w:rPr>
          <w:rtl w:val="true"/>
        </w:rPr>
        <w:t>-</w:t>
      </w:r>
      <w:r>
        <w:rPr>
          <w:rtl w:val="true"/>
        </w:rPr>
        <w:t>פי הודאתו</w:t>
      </w:r>
      <w:r>
        <w:rPr>
          <w:rtl w:val="true"/>
        </w:rPr>
        <w:t xml:space="preserve">, </w:t>
      </w:r>
      <w:r>
        <w:rPr>
          <w:rtl w:val="true"/>
        </w:rPr>
        <w:t>שניתנה במסגרת הסדר טיעון</w:t>
      </w:r>
      <w:r>
        <w:rPr>
          <w:rtl w:val="true"/>
        </w:rPr>
        <w:t xml:space="preserve">, </w:t>
      </w:r>
      <w:r>
        <w:rPr>
          <w:rtl w:val="true"/>
        </w:rPr>
        <w:t>בעובדות כתב</w:t>
      </w:r>
      <w:r>
        <w:rPr>
          <w:rtl w:val="true"/>
        </w:rPr>
        <w:t>-</w:t>
      </w:r>
      <w:r>
        <w:rPr>
          <w:rtl w:val="true"/>
        </w:rPr>
        <w:t xml:space="preserve">אישום מתוקן המייחס לו עבירת קשירת קשר לביצוע פשע לפי </w:t>
      </w:r>
      <w:hyperlink r:id="rId12">
        <w:r>
          <w:rPr>
            <w:rStyle w:val="Hyperlink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color w:val="0000FF"/>
            <w:u w:val="single"/>
          </w:rPr>
          <w:t>499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3">
        <w:r>
          <w:rPr>
            <w:rStyle w:val="Hyperlink"/>
            <w:color w:val="0000FF"/>
            <w:u w:val="single"/>
            <w:rtl w:val="true"/>
          </w:rPr>
          <w:t>חוק 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החוק</w:t>
      </w:r>
      <w:r>
        <w:rPr>
          <w:b/>
          <w:bCs/>
          <w:rtl w:val="true"/>
        </w:rPr>
        <w:t>"</w:t>
      </w:r>
      <w:r>
        <w:rPr>
          <w:rtl w:val="true"/>
        </w:rPr>
        <w:t xml:space="preserve">), </w:t>
      </w:r>
      <w:r>
        <w:rPr>
          <w:rtl w:val="true"/>
        </w:rPr>
        <w:t>וניסיון לייצור נשק בצוותא חדא</w:t>
      </w:r>
      <w:r>
        <w:rPr>
          <w:rtl w:val="true"/>
        </w:rPr>
        <w:t xml:space="preserve">, </w:t>
      </w:r>
      <w:r>
        <w:rPr>
          <w:rtl w:val="true"/>
        </w:rPr>
        <w:t xml:space="preserve">לפי </w:t>
      </w:r>
      <w:hyperlink r:id="rId14">
        <w:r>
          <w:rPr>
            <w:rStyle w:val="Hyperlink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</w:rPr>
          <w:t>2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 xml:space="preserve">יחד עם </w:t>
      </w:r>
      <w:hyperlink r:id="rId15">
        <w:r>
          <w:rPr>
            <w:rStyle w:val="Hyperlink"/>
            <w:color w:val="0000FF"/>
            <w:u w:val="single"/>
            <w:rtl w:val="true"/>
          </w:rPr>
          <w:t xml:space="preserve">סעיפים </w:t>
        </w:r>
        <w:r>
          <w:rPr>
            <w:rStyle w:val="Hyperlink"/>
            <w:color w:val="0000FF"/>
            <w:u w:val="single"/>
          </w:rPr>
          <w:t>25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16">
        <w:r>
          <w:rPr>
            <w:rStyle w:val="Hyperlink"/>
            <w:color w:val="0000FF"/>
            <w:u w:val="single"/>
          </w:rPr>
          <w:t>29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>.</w:t>
      </w:r>
    </w:p>
    <w:p>
      <w:pPr>
        <w:pStyle w:val="Style11"/>
        <w:bidi w:val="1"/>
        <w:ind w:start="360"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כתב</w:t>
      </w:r>
      <w:r>
        <w:rPr>
          <w:b/>
          <w:bCs/>
          <w:u w:val="single"/>
          <w:rtl w:val="true"/>
        </w:rPr>
        <w:t>-</w:t>
      </w:r>
      <w:r>
        <w:rPr>
          <w:b/>
          <w:b/>
          <w:bCs/>
          <w:u w:val="single"/>
          <w:rtl w:val="true"/>
        </w:rPr>
        <w:t>האישום המתוקן</w:t>
      </w:r>
    </w:p>
    <w:p>
      <w:pPr>
        <w:pStyle w:val="Normal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Style11"/>
        <w:numPr>
          <w:ilvl w:val="0"/>
          <w:numId w:val="2"/>
        </w:numPr>
        <w:bidi w:val="1"/>
        <w:ind w:hanging="567" w:start="567" w:end="0"/>
        <w:jc w:val="both"/>
        <w:rPr>
          <w:b/>
          <w:bCs/>
          <w:u w:val="single"/>
        </w:rPr>
      </w:pPr>
      <w:r>
        <w:rPr>
          <w:rtl w:val="true"/>
        </w:rPr>
        <w:t>הנאשם הינו אזרח ישראלי</w:t>
      </w:r>
      <w:r>
        <w:rPr>
          <w:rtl w:val="true"/>
        </w:rPr>
        <w:t xml:space="preserve">, </w:t>
      </w:r>
      <w:r>
        <w:rPr>
          <w:rtl w:val="true"/>
        </w:rPr>
        <w:t>בן לאם ישראלית ילידת כפר ברא ולאב פלסטיני</w:t>
      </w:r>
      <w:r>
        <w:rPr>
          <w:rtl w:val="true"/>
        </w:rPr>
        <w:t xml:space="preserve">. </w:t>
      </w:r>
      <w:r>
        <w:rPr>
          <w:rtl w:val="true"/>
        </w:rPr>
        <w:t>עד למעצרו התגורר הנאשם עם אביו ואמו לסירוגין</w:t>
      </w:r>
      <w:r>
        <w:rPr>
          <w:rtl w:val="true"/>
        </w:rPr>
        <w:t xml:space="preserve">, </w:t>
      </w:r>
      <w:r>
        <w:rPr>
          <w:rtl w:val="true"/>
        </w:rPr>
        <w:t>בכפר ברא ובקלקיליה שבשומרון</w:t>
      </w:r>
      <w:r>
        <w:rPr>
          <w:rtl w:val="true"/>
        </w:rPr>
        <w:t>.</w:t>
      </w:r>
    </w:p>
    <w:p>
      <w:pPr>
        <w:pStyle w:val="Style11"/>
        <w:bidi w:val="1"/>
        <w:ind w:start="360"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Style11"/>
        <w:numPr>
          <w:ilvl w:val="0"/>
          <w:numId w:val="2"/>
        </w:numPr>
        <w:bidi w:val="1"/>
        <w:ind w:hanging="567" w:start="567" w:end="0"/>
        <w:jc w:val="both"/>
        <w:rPr>
          <w:b/>
          <w:bCs/>
          <w:u w:val="single"/>
        </w:rPr>
      </w:pPr>
      <w:r>
        <w:rPr>
          <w:rtl w:val="true"/>
        </w:rPr>
        <w:t xml:space="preserve">נמר עטא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נמר</w:t>
      </w:r>
      <w:r>
        <w:rPr>
          <w:b/>
          <w:bCs/>
          <w:rtl w:val="true"/>
        </w:rPr>
        <w:t>"</w:t>
      </w:r>
      <w:r>
        <w:rPr>
          <w:rtl w:val="true"/>
        </w:rPr>
        <w:t xml:space="preserve">) </w:t>
      </w:r>
      <w:r>
        <w:rPr>
          <w:rtl w:val="true"/>
        </w:rPr>
        <w:t xml:space="preserve">והאחים התאומים עבד אל חק </w:t>
      </w:r>
      <w:r>
        <w:rPr>
          <w:rtl w:val="true"/>
        </w:rPr>
        <w:t>(</w:t>
      </w:r>
      <w:r>
        <w:rPr>
          <w:rtl w:val="true"/>
        </w:rPr>
        <w:t xml:space="preserve">להלן </w:t>
      </w:r>
      <w:r>
        <w:rPr>
          <w:rtl w:val="true"/>
        </w:rPr>
        <w:t xml:space="preserve">: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ע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א חק</w:t>
      </w:r>
      <w:r>
        <w:rPr>
          <w:b/>
          <w:bCs/>
          <w:rtl w:val="true"/>
        </w:rPr>
        <w:t>"</w:t>
      </w:r>
      <w:r>
        <w:rPr>
          <w:rtl w:val="true"/>
        </w:rPr>
        <w:t xml:space="preserve">) </w:t>
      </w:r>
      <w:r>
        <w:rPr>
          <w:rtl w:val="true"/>
        </w:rPr>
        <w:t xml:space="preserve">ועבד אל רחמן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ע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א רחמן</w:t>
      </w:r>
      <w:r>
        <w:rPr>
          <w:b/>
          <w:bCs/>
          <w:rtl w:val="true"/>
        </w:rPr>
        <w:t>"</w:t>
      </w:r>
      <w:r>
        <w:rPr>
          <w:rtl w:val="true"/>
        </w:rPr>
        <w:t xml:space="preserve">) </w:t>
      </w:r>
      <w:r>
        <w:rPr>
          <w:rtl w:val="true"/>
        </w:rPr>
        <w:t>הינם תושבי קלקיליה</w:t>
      </w:r>
      <w:r>
        <w:rPr>
          <w:rtl w:val="true"/>
        </w:rPr>
        <w:t xml:space="preserve">. </w:t>
      </w:r>
      <w:r>
        <w:rPr>
          <w:rtl w:val="true"/>
        </w:rPr>
        <w:t>בתקופה הרלוונטית לכתב</w:t>
      </w:r>
      <w:r>
        <w:rPr>
          <w:rtl w:val="true"/>
        </w:rPr>
        <w:t>-</w:t>
      </w:r>
      <w:r>
        <w:rPr>
          <w:rtl w:val="true"/>
        </w:rPr>
        <w:t>האישום השתתפו הנאשם והשלושה יחד בחוגים שונים ללימוד אסלאם שהתקיימו בקלקיליה</w:t>
      </w:r>
      <w:r>
        <w:rPr>
          <w:rtl w:val="true"/>
        </w:rPr>
        <w:t>.</w:t>
      </w:r>
    </w:p>
    <w:p>
      <w:pPr>
        <w:pStyle w:val="Normal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Style11"/>
        <w:numPr>
          <w:ilvl w:val="0"/>
          <w:numId w:val="2"/>
        </w:numPr>
        <w:bidi w:val="1"/>
        <w:ind w:hanging="567" w:start="567" w:end="0"/>
        <w:jc w:val="both"/>
        <w:rPr>
          <w:b/>
          <w:bCs/>
          <w:u w:val="single"/>
        </w:rPr>
      </w:pPr>
      <w:r>
        <w:rPr>
          <w:rtl w:val="true"/>
        </w:rPr>
        <w:t xml:space="preserve">בחודש יולי </w:t>
      </w:r>
      <w:r>
        <w:rPr/>
        <w:t>2013</w:t>
      </w:r>
      <w:r>
        <w:rPr>
          <w:rtl w:val="true"/>
        </w:rPr>
        <w:t xml:space="preserve"> </w:t>
      </w:r>
      <w:r>
        <w:rPr>
          <w:rtl w:val="true"/>
        </w:rPr>
        <w:t>או בסמוך לכך</w:t>
      </w:r>
      <w:r>
        <w:rPr>
          <w:rtl w:val="true"/>
        </w:rPr>
        <w:t xml:space="preserve">, </w:t>
      </w:r>
      <w:r>
        <w:rPr>
          <w:rtl w:val="true"/>
        </w:rPr>
        <w:t>במסגד בקלקיליה</w:t>
      </w:r>
      <w:r>
        <w:rPr>
          <w:rtl w:val="true"/>
        </w:rPr>
        <w:t xml:space="preserve">, </w:t>
      </w:r>
      <w:r>
        <w:rPr>
          <w:rtl w:val="true"/>
        </w:rPr>
        <w:t>קשרו נמר</w:t>
      </w:r>
      <w:r>
        <w:rPr>
          <w:rtl w:val="true"/>
        </w:rPr>
        <w:t xml:space="preserve">,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א חק וע</w:t>
      </w:r>
      <w:r>
        <w:rPr>
          <w:rtl w:val="true"/>
        </w:rPr>
        <w:t>"</w:t>
      </w:r>
      <w:r>
        <w:rPr>
          <w:rtl w:val="true"/>
        </w:rPr>
        <w:t xml:space="preserve">א רחמן קשר לביצוע פשע של הקמת חוליית טרור </w:t>
      </w:r>
      <w:r>
        <w:rPr>
          <w:rtl w:val="true"/>
        </w:rPr>
        <w:t>(</w:t>
      </w:r>
      <w:r>
        <w:rPr>
          <w:rtl w:val="true"/>
        </w:rPr>
        <w:t xml:space="preserve">להלן </w:t>
      </w:r>
      <w:r>
        <w:rPr>
          <w:rtl w:val="true"/>
        </w:rPr>
        <w:t xml:space="preserve">: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החוליה</w:t>
      </w:r>
      <w:r>
        <w:rPr>
          <w:b/>
          <w:bCs/>
          <w:rtl w:val="true"/>
        </w:rPr>
        <w:t>"</w:t>
      </w:r>
      <w:r>
        <w:rPr>
          <w:rtl w:val="true"/>
        </w:rPr>
        <w:t xml:space="preserve">), </w:t>
      </w:r>
      <w:r>
        <w:rPr>
          <w:rtl w:val="true"/>
        </w:rPr>
        <w:t xml:space="preserve">שתבצע פיגועים בנשק חם נגד מטרות ישראליות יהודיות אקראיות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הקשר</w:t>
      </w:r>
      <w:r>
        <w:rPr>
          <w:b/>
          <w:bCs/>
          <w:rtl w:val="true"/>
        </w:rPr>
        <w:t>"</w:t>
      </w:r>
      <w:r>
        <w:rPr>
          <w:rtl w:val="true"/>
        </w:rPr>
        <w:t xml:space="preserve">). </w:t>
      </w:r>
      <w:r>
        <w:rPr>
          <w:rtl w:val="true"/>
        </w:rPr>
        <w:t>מספר ימים לאחר מכן</w:t>
      </w:r>
      <w:r>
        <w:rPr>
          <w:rtl w:val="true"/>
        </w:rPr>
        <w:t xml:space="preserve">, </w:t>
      </w:r>
      <w:r>
        <w:rPr>
          <w:rtl w:val="true"/>
        </w:rPr>
        <w:t>במסגרת הקשר ולשם קידומו</w:t>
      </w:r>
      <w:r>
        <w:rPr>
          <w:rtl w:val="true"/>
        </w:rPr>
        <w:t xml:space="preserve">, </w:t>
      </w:r>
      <w:r>
        <w:rPr>
          <w:rtl w:val="true"/>
        </w:rPr>
        <w:t>נפגשו השלושה עם הנאשם בקלקיליה</w:t>
      </w:r>
      <w:r>
        <w:rPr>
          <w:rtl w:val="true"/>
        </w:rPr>
        <w:t xml:space="preserve">, </w:t>
      </w:r>
      <w:r>
        <w:rPr>
          <w:rtl w:val="true"/>
        </w:rPr>
        <w:t>והציעו לו לחבור לחוליה</w:t>
      </w:r>
      <w:r>
        <w:rPr>
          <w:rtl w:val="true"/>
        </w:rPr>
        <w:t xml:space="preserve">. </w:t>
      </w:r>
      <w:r>
        <w:rPr>
          <w:rtl w:val="true"/>
        </w:rPr>
        <w:t>הנאשם הסכים להצעה זו והצטרף לקשר</w:t>
      </w:r>
      <w:r>
        <w:rPr>
          <w:rtl w:val="true"/>
        </w:rPr>
        <w:t xml:space="preserve">. </w:t>
      </w:r>
    </w:p>
    <w:p>
      <w:pPr>
        <w:pStyle w:val="Style11"/>
        <w:bidi w:val="1"/>
        <w:ind w:start="567"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Style11"/>
        <w:numPr>
          <w:ilvl w:val="0"/>
          <w:numId w:val="2"/>
        </w:numPr>
        <w:bidi w:val="1"/>
        <w:ind w:hanging="567" w:start="567" w:end="0"/>
        <w:jc w:val="both"/>
        <w:rPr/>
      </w:pPr>
      <w:r>
        <w:rPr>
          <w:rtl w:val="true"/>
        </w:rPr>
        <w:t>במהלך הפגישה הציע כל אחד מארבעת חברי החוליה את סוג הנשק החם בו צריכה החוליה להשתמש לצורך פעילותה</w:t>
      </w:r>
      <w:r>
        <w:rPr>
          <w:rtl w:val="true"/>
        </w:rPr>
        <w:t xml:space="preserve">. </w:t>
      </w:r>
      <w:r>
        <w:rPr>
          <w:rtl w:val="true"/>
        </w:rPr>
        <w:t>הנאשם העלה אפשרות לבצע פיגוע ירי</w:t>
      </w:r>
      <w:r>
        <w:rPr>
          <w:rtl w:val="true"/>
        </w:rPr>
        <w:t xml:space="preserve">, </w:t>
      </w:r>
      <w:r>
        <w:rPr>
          <w:rtl w:val="true"/>
        </w:rPr>
        <w:t>נמר העלה אפשרות לבצע פיגוע מטען חבלה</w:t>
      </w:r>
      <w:r>
        <w:rPr>
          <w:rtl w:val="true"/>
        </w:rPr>
        <w:t xml:space="preserve">, </w:t>
      </w:r>
      <w:r>
        <w:rPr>
          <w:rtl w:val="true"/>
        </w:rPr>
        <w:t>ואילו ע</w:t>
      </w:r>
      <w:r>
        <w:rPr>
          <w:rtl w:val="true"/>
        </w:rPr>
        <w:t>"</w:t>
      </w:r>
      <w:r>
        <w:rPr>
          <w:rtl w:val="true"/>
        </w:rPr>
        <w:t>א חק וע</w:t>
      </w:r>
      <w:r>
        <w:rPr>
          <w:rtl w:val="true"/>
        </w:rPr>
        <w:t>"</w:t>
      </w:r>
      <w:r>
        <w:rPr>
          <w:rtl w:val="true"/>
        </w:rPr>
        <w:t>א רחמן העלו אפשרות לבצע ירי טילי רקטות</w:t>
      </w:r>
      <w:r>
        <w:rPr>
          <w:rtl w:val="true"/>
        </w:rPr>
        <w:t xml:space="preserve">. </w:t>
      </w:r>
      <w:r>
        <w:rPr>
          <w:rtl w:val="true"/>
        </w:rPr>
        <w:t>לאחר דין ודברים בהצעות שהועלו החליטו הארבעה לאמץ את הצעתו של נמר</w:t>
      </w:r>
      <w:r>
        <w:rPr>
          <w:rtl w:val="true"/>
        </w:rPr>
        <w:t>.</w:t>
      </w:r>
    </w:p>
    <w:p>
      <w:pPr>
        <w:pStyle w:val="Style11"/>
        <w:bidi w:val="1"/>
        <w:ind w:start="567" w:end="0"/>
        <w:jc w:val="both"/>
        <w:rPr>
          <w:b/>
          <w:bCs/>
          <w:u w:val="single"/>
        </w:rPr>
      </w:pPr>
      <w:r>
        <w:rPr>
          <w:rFonts w:eastAsia="Arial"/>
          <w:rtl w:val="true"/>
        </w:rPr>
        <w:t xml:space="preserve"> </w:t>
      </w:r>
    </w:p>
    <w:p>
      <w:pPr>
        <w:pStyle w:val="Style11"/>
        <w:numPr>
          <w:ilvl w:val="0"/>
          <w:numId w:val="2"/>
        </w:numPr>
        <w:bidi w:val="1"/>
        <w:ind w:hanging="567" w:start="567" w:end="0"/>
        <w:jc w:val="both"/>
        <w:rPr>
          <w:b/>
          <w:bCs/>
          <w:u w:val="single"/>
        </w:rPr>
      </w:pPr>
      <w:r>
        <w:rPr>
          <w:rtl w:val="true"/>
        </w:rPr>
        <w:t>החוליה הגדירה את חלוקת התפקידים הבאה</w:t>
      </w:r>
      <w:r>
        <w:rPr>
          <w:rtl w:val="true"/>
        </w:rPr>
        <w:t xml:space="preserve">: </w:t>
      </w:r>
      <w:r>
        <w:rPr>
          <w:rtl w:val="true"/>
        </w:rPr>
        <w:t>לשם קידום הקשר הוטל על נמר להשיג חומר נפץ למטען החבלה</w:t>
      </w:r>
      <w:r>
        <w:rPr>
          <w:rtl w:val="true"/>
        </w:rPr>
        <w:t xml:space="preserve">, </w:t>
      </w:r>
      <w:r>
        <w:rPr>
          <w:rtl w:val="true"/>
        </w:rPr>
        <w:t>ואילו ע</w:t>
      </w:r>
      <w:r>
        <w:rPr>
          <w:rtl w:val="true"/>
        </w:rPr>
        <w:t>"</w:t>
      </w:r>
      <w:r>
        <w:rPr>
          <w:rtl w:val="true"/>
        </w:rPr>
        <w:t>א חק וע</w:t>
      </w:r>
      <w:r>
        <w:rPr>
          <w:rtl w:val="true"/>
        </w:rPr>
        <w:t>"</w:t>
      </w:r>
      <w:r>
        <w:rPr>
          <w:rtl w:val="true"/>
        </w:rPr>
        <w:t>א רחמן היו אחראיים על בסיסו החשמלי של המטען</w:t>
      </w:r>
      <w:r>
        <w:rPr>
          <w:rtl w:val="true"/>
        </w:rPr>
        <w:t xml:space="preserve">, </w:t>
      </w:r>
      <w:r>
        <w:rPr>
          <w:rtl w:val="true"/>
        </w:rPr>
        <w:t>אשר יופעל מרחוק</w:t>
      </w:r>
      <w:r>
        <w:rPr>
          <w:rtl w:val="true"/>
        </w:rPr>
        <w:t xml:space="preserve">. </w:t>
      </w:r>
      <w:r>
        <w:rPr>
          <w:rtl w:val="true"/>
        </w:rPr>
        <w:t>על הנאשם לא הוטל תפקיד מוגדר לשם קידום הקשר</w:t>
      </w:r>
      <w:r>
        <w:rPr>
          <w:rtl w:val="true"/>
        </w:rPr>
        <w:t>.</w:t>
      </w:r>
    </w:p>
    <w:p>
      <w:pPr>
        <w:pStyle w:val="Style11"/>
        <w:bidi w:val="1"/>
        <w:ind w:start="567"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Style11"/>
        <w:numPr>
          <w:ilvl w:val="0"/>
          <w:numId w:val="2"/>
        </w:numPr>
        <w:bidi w:val="1"/>
        <w:ind w:hanging="567" w:start="567" w:end="0"/>
        <w:jc w:val="both"/>
        <w:rPr>
          <w:b/>
          <w:bCs/>
          <w:u w:val="single"/>
        </w:rPr>
      </w:pPr>
      <w:r>
        <w:rPr>
          <w:rtl w:val="true"/>
        </w:rPr>
        <w:t>במהלך התקופה העוקבת</w:t>
      </w:r>
      <w:r>
        <w:rPr>
          <w:rtl w:val="true"/>
        </w:rPr>
        <w:t xml:space="preserve">, </w:t>
      </w:r>
      <w:r>
        <w:rPr>
          <w:rtl w:val="true"/>
        </w:rPr>
        <w:t>פעלו חברי החוליה בהתאם לחלוקת התפקידים שהוגדרה</w:t>
      </w:r>
      <w:r>
        <w:rPr>
          <w:rtl w:val="true"/>
        </w:rPr>
        <w:t xml:space="preserve">: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א חק למד ממידע באינטרנט אודות שיטות ייצור של מטען באמצעות טלפון נייד</w:t>
      </w:r>
      <w:r>
        <w:rPr>
          <w:rtl w:val="true"/>
        </w:rPr>
        <w:t xml:space="preserve">, </w:t>
      </w:r>
      <w:r>
        <w:rPr>
          <w:rtl w:val="true"/>
        </w:rPr>
        <w:t>נורות וחוטי חשמל</w:t>
      </w:r>
      <w:r>
        <w:rPr>
          <w:rtl w:val="true"/>
        </w:rPr>
        <w:t xml:space="preserve">, </w:t>
      </w:r>
      <w:r>
        <w:rPr>
          <w:rtl w:val="true"/>
        </w:rPr>
        <w:t>ובעזרת ע</w:t>
      </w:r>
      <w:r>
        <w:rPr>
          <w:rtl w:val="true"/>
        </w:rPr>
        <w:t>"</w:t>
      </w:r>
      <w:r>
        <w:rPr>
          <w:rtl w:val="true"/>
        </w:rPr>
        <w:t>א רחמן ניסו לייצר את המטען באופן הנלמד ללא הצלחה</w:t>
      </w:r>
      <w:r>
        <w:rPr>
          <w:rtl w:val="true"/>
        </w:rPr>
        <w:t xml:space="preserve">. </w:t>
      </w:r>
    </w:p>
    <w:p>
      <w:pPr>
        <w:pStyle w:val="Style11"/>
        <w:bidi w:val="1"/>
        <w:ind w:start="567" w:end="0"/>
        <w:jc w:val="both"/>
        <w:rPr>
          <w:b/>
          <w:bCs/>
          <w:u w:val="single"/>
        </w:rPr>
      </w:pPr>
      <w:r>
        <w:rPr>
          <w:rtl w:val="true"/>
        </w:rPr>
        <w:t xml:space="preserve">נמר פנה לאחר בשם </w:t>
      </w:r>
      <w:r>
        <w:rPr>
          <w:rtl w:val="true"/>
        </w:rPr>
        <w:t>"</w:t>
      </w:r>
      <w:r>
        <w:rPr>
          <w:rtl w:val="true"/>
        </w:rPr>
        <w:t>אבו עמרה</w:t>
      </w:r>
      <w:r>
        <w:rPr>
          <w:rtl w:val="true"/>
        </w:rPr>
        <w:t xml:space="preserve">", </w:t>
      </w:r>
      <w:r>
        <w:rPr>
          <w:rtl w:val="true"/>
        </w:rPr>
        <w:t>וביקש ממנו להשיג עבורו דשן אשלגן חנקתי עבור מטען החבלה</w:t>
      </w:r>
      <w:r>
        <w:rPr>
          <w:rtl w:val="true"/>
        </w:rPr>
        <w:t xml:space="preserve">. </w:t>
      </w:r>
      <w:r>
        <w:rPr>
          <w:rtl w:val="true"/>
        </w:rPr>
        <w:t>אבו אמרה הסכים לנסות לפעול בעניין</w:t>
      </w:r>
      <w:r>
        <w:rPr>
          <w:rtl w:val="true"/>
        </w:rPr>
        <w:t xml:space="preserve">, </w:t>
      </w:r>
      <w:r>
        <w:rPr>
          <w:rtl w:val="true"/>
        </w:rPr>
        <w:t>אך לא העביר את האשלגן בפועל</w:t>
      </w:r>
      <w:r>
        <w:rPr>
          <w:rtl w:val="true"/>
        </w:rPr>
        <w:t>.</w:t>
      </w:r>
    </w:p>
    <w:p>
      <w:pPr>
        <w:pStyle w:val="Style11"/>
        <w:bidi w:val="1"/>
        <w:ind w:start="567"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Style11"/>
        <w:numPr>
          <w:ilvl w:val="0"/>
          <w:numId w:val="2"/>
        </w:numPr>
        <w:bidi w:val="1"/>
        <w:ind w:hanging="567" w:start="567" w:end="0"/>
        <w:jc w:val="both"/>
        <w:rPr>
          <w:b/>
          <w:bCs/>
          <w:u w:val="single"/>
        </w:rPr>
      </w:pPr>
      <w:r>
        <w:rPr>
          <w:rtl w:val="true"/>
        </w:rPr>
        <w:t xml:space="preserve">ביום </w:t>
      </w:r>
      <w:r>
        <w:rPr/>
        <w:t>26.11.2013</w:t>
      </w:r>
      <w:r>
        <w:rPr>
          <w:rtl w:val="true"/>
        </w:rPr>
        <w:t xml:space="preserve">, </w:t>
      </w:r>
      <w:r>
        <w:rPr>
          <w:rtl w:val="true"/>
        </w:rPr>
        <w:t>לבקשת נמר</w:t>
      </w:r>
      <w:r>
        <w:rPr>
          <w:rtl w:val="true"/>
        </w:rPr>
        <w:t xml:space="preserve">, </w:t>
      </w:r>
      <w:r>
        <w:rPr>
          <w:rtl w:val="true"/>
        </w:rPr>
        <w:t>הביא עמו ע</w:t>
      </w:r>
      <w:r>
        <w:rPr>
          <w:rtl w:val="true"/>
        </w:rPr>
        <w:t>"</w:t>
      </w:r>
      <w:r>
        <w:rPr>
          <w:rtl w:val="true"/>
        </w:rPr>
        <w:t>א חק את המטען המיועד למספרה בה שהו נמר והנאשם</w:t>
      </w:r>
      <w:r>
        <w:rPr>
          <w:rtl w:val="true"/>
        </w:rPr>
        <w:t xml:space="preserve">. </w:t>
      </w:r>
      <w:r>
        <w:rPr>
          <w:rtl w:val="true"/>
        </w:rPr>
        <w:t>דקות ספורות לאחר הגעתו למקום</w:t>
      </w:r>
      <w:r>
        <w:rPr>
          <w:rtl w:val="true"/>
        </w:rPr>
        <w:t xml:space="preserve">, </w:t>
      </w:r>
      <w:r>
        <w:rPr>
          <w:rtl w:val="true"/>
        </w:rPr>
        <w:t>נעצרו ע</w:t>
      </w:r>
      <w:r>
        <w:rPr>
          <w:rtl w:val="true"/>
        </w:rPr>
        <w:t>"</w:t>
      </w:r>
      <w:r>
        <w:rPr>
          <w:rtl w:val="true"/>
        </w:rPr>
        <w:t>א חק</w:t>
      </w:r>
      <w:r>
        <w:rPr>
          <w:rtl w:val="true"/>
        </w:rPr>
        <w:t xml:space="preserve">, </w:t>
      </w:r>
      <w:r>
        <w:rPr>
          <w:rtl w:val="true"/>
        </w:rPr>
        <w:t>נמר והנאשם על</w:t>
      </w:r>
      <w:r>
        <w:rPr>
          <w:rtl w:val="true"/>
        </w:rPr>
        <w:t>-</w:t>
      </w:r>
      <w:r>
        <w:rPr>
          <w:rtl w:val="true"/>
        </w:rPr>
        <w:t>ידי הביטחון המסכל הפלסטיני</w:t>
      </w:r>
      <w:r>
        <w:rPr>
          <w:rtl w:val="true"/>
        </w:rPr>
        <w:t xml:space="preserve">. </w:t>
      </w:r>
      <w:r>
        <w:rPr>
          <w:rtl w:val="true"/>
        </w:rPr>
        <w:t>בהמשך נעצר גם ע</w:t>
      </w:r>
      <w:r>
        <w:rPr>
          <w:rtl w:val="true"/>
        </w:rPr>
        <w:t>"</w:t>
      </w:r>
      <w:r>
        <w:rPr>
          <w:rtl w:val="true"/>
        </w:rPr>
        <w:t>א רחמן</w:t>
      </w:r>
      <w:r>
        <w:rPr>
          <w:rtl w:val="true"/>
        </w:rPr>
        <w:t xml:space="preserve">. </w:t>
      </w:r>
      <w:r>
        <w:rPr>
          <w:rtl w:val="true"/>
        </w:rPr>
        <w:t>מעצר זה הוא שסיכל את המשך פעילותה של החוליה והוביל לפירוקה</w:t>
      </w:r>
      <w:r>
        <w:rPr>
          <w:rtl w:val="true"/>
        </w:rPr>
        <w:t>.</w:t>
      </w:r>
    </w:p>
    <w:p>
      <w:pPr>
        <w:pStyle w:val="Normal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תסקיר שירות המבחן</w:t>
      </w:r>
    </w:p>
    <w:p>
      <w:pPr>
        <w:pStyle w:val="Normal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Style11"/>
        <w:numPr>
          <w:ilvl w:val="0"/>
          <w:numId w:val="2"/>
        </w:numPr>
        <w:bidi w:val="1"/>
        <w:ind w:hanging="567" w:start="567" w:end="0"/>
        <w:jc w:val="both"/>
        <w:rPr/>
      </w:pPr>
      <w:r>
        <w:rPr>
          <w:rtl w:val="true"/>
        </w:rPr>
        <w:t xml:space="preserve">הנאשם מוסלמי בן </w:t>
      </w:r>
      <w:r>
        <w:rPr/>
        <w:t>22</w:t>
      </w:r>
      <w:r>
        <w:rPr>
          <w:rtl w:val="true"/>
        </w:rPr>
        <w:t xml:space="preserve">, </w:t>
      </w:r>
      <w:r>
        <w:rPr>
          <w:rtl w:val="true"/>
        </w:rPr>
        <w:t>רווק</w:t>
      </w:r>
      <w:r>
        <w:rPr>
          <w:rtl w:val="true"/>
        </w:rPr>
        <w:t xml:space="preserve">. </w:t>
      </w:r>
      <w:r>
        <w:rPr>
          <w:rtl w:val="true"/>
        </w:rPr>
        <w:t xml:space="preserve">סיים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שנות לימוד</w:t>
      </w:r>
      <w:r>
        <w:rPr>
          <w:rtl w:val="true"/>
        </w:rPr>
        <w:t xml:space="preserve">, </w:t>
      </w:r>
      <w:r>
        <w:rPr>
          <w:rtl w:val="true"/>
        </w:rPr>
        <w:t>אך פרש מלימודיו על</w:t>
      </w:r>
      <w:r>
        <w:rPr>
          <w:rtl w:val="true"/>
        </w:rPr>
        <w:t>-</w:t>
      </w:r>
      <w:r>
        <w:rPr>
          <w:rtl w:val="true"/>
        </w:rPr>
        <w:t>מנת לסייע בפרנסת משפחתו</w:t>
      </w:r>
      <w:r>
        <w:rPr>
          <w:rtl w:val="true"/>
        </w:rPr>
        <w:t xml:space="preserve">. </w:t>
      </w:r>
      <w:r>
        <w:rPr>
          <w:rtl w:val="true"/>
        </w:rPr>
        <w:t>טרם מעצרו עבד בחברת ניקיון באזור ראשון לציון</w:t>
      </w:r>
      <w:r>
        <w:rPr>
          <w:rtl w:val="true"/>
        </w:rPr>
        <w:t xml:space="preserve">. </w:t>
      </w:r>
      <w:r>
        <w:rPr>
          <w:rtl w:val="true"/>
        </w:rPr>
        <w:t>בשנים האחרונות החל בהליך של התקרבות לדת</w:t>
      </w:r>
      <w:r>
        <w:rPr>
          <w:rtl w:val="true"/>
        </w:rPr>
        <w:t xml:space="preserve">. </w:t>
      </w:r>
      <w:r>
        <w:rPr>
          <w:rtl w:val="true"/>
        </w:rPr>
        <w:t>אביו של הנאשם מתגורר בקלקיליה ובבעלותו חנות צעצועים</w:t>
      </w:r>
      <w:r>
        <w:rPr>
          <w:rtl w:val="true"/>
        </w:rPr>
        <w:t xml:space="preserve">. </w:t>
      </w:r>
      <w:r>
        <w:rPr>
          <w:rtl w:val="true"/>
        </w:rPr>
        <w:t>אמו מתגוררת בכפר ברא</w:t>
      </w:r>
      <w:r>
        <w:rPr>
          <w:rtl w:val="true"/>
        </w:rPr>
        <w:t xml:space="preserve">. </w:t>
      </w:r>
      <w:r>
        <w:rPr>
          <w:rtl w:val="true"/>
        </w:rPr>
        <w:t xml:space="preserve">לנאשם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אחים ואחיות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מאז שהיה ילד הוריו חיים בנפרד</w:t>
      </w:r>
      <w:r>
        <w:rPr>
          <w:rtl w:val="true"/>
        </w:rPr>
        <w:t>.</w:t>
      </w:r>
    </w:p>
    <w:p>
      <w:pPr>
        <w:pStyle w:val="Style11"/>
        <w:bidi w:val="1"/>
        <w:ind w:start="567" w:end="0"/>
        <w:jc w:val="both"/>
        <w:rPr/>
      </w:pPr>
      <w:r>
        <w:rPr>
          <w:rtl w:val="true"/>
        </w:rPr>
      </w:r>
    </w:p>
    <w:p>
      <w:pPr>
        <w:pStyle w:val="Style11"/>
        <w:numPr>
          <w:ilvl w:val="0"/>
          <w:numId w:val="2"/>
        </w:numPr>
        <w:bidi w:val="1"/>
        <w:ind w:hanging="567" w:start="567" w:end="0"/>
        <w:jc w:val="both"/>
        <w:rPr/>
      </w:pPr>
      <w:r>
        <w:rPr>
          <w:rtl w:val="true"/>
        </w:rPr>
        <w:t>בשיחתו עם קצינת המבחן הכחיש הנאשם את עובדות כתב</w:t>
      </w:r>
      <w:r>
        <w:rPr>
          <w:rtl w:val="true"/>
        </w:rPr>
        <w:t>-</w:t>
      </w:r>
      <w:r>
        <w:rPr>
          <w:rtl w:val="true"/>
        </w:rPr>
        <w:t>האישום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הכיר את יתר חברי החוליה</w:t>
      </w:r>
      <w:r>
        <w:rPr>
          <w:rtl w:val="true"/>
        </w:rPr>
        <w:t xml:space="preserve">, </w:t>
      </w:r>
      <w:r>
        <w:rPr>
          <w:rtl w:val="true"/>
        </w:rPr>
        <w:t>אשר נהגו להתפלל עמו במסגד בקלקיליה</w:t>
      </w:r>
      <w:r>
        <w:rPr>
          <w:rtl w:val="true"/>
        </w:rPr>
        <w:t xml:space="preserve">, </w:t>
      </w:r>
      <w:r>
        <w:rPr>
          <w:rtl w:val="true"/>
        </w:rPr>
        <w:t>הכרות שטחית בלבד</w:t>
      </w:r>
      <w:r>
        <w:rPr>
          <w:rtl w:val="true"/>
        </w:rPr>
        <w:t xml:space="preserve">. </w:t>
      </w:r>
      <w:r>
        <w:rPr>
          <w:rtl w:val="true"/>
        </w:rPr>
        <w:t>הנאשם הסביר כי לא ייחס חשיבות לכוונותיהם לבצע פיגוע</w:t>
      </w:r>
      <w:r>
        <w:rPr>
          <w:rtl w:val="true"/>
        </w:rPr>
        <w:t xml:space="preserve">, </w:t>
      </w:r>
      <w:r>
        <w:rPr>
          <w:rtl w:val="true"/>
        </w:rPr>
        <w:t>וחשב שהדברים נאמרים בבדיחות הדעת</w:t>
      </w:r>
      <w:r>
        <w:rPr>
          <w:rtl w:val="true"/>
        </w:rPr>
        <w:t>.</w:t>
        <w:br/>
      </w:r>
      <w:r>
        <w:rPr>
          <w:rtl w:val="true"/>
        </w:rPr>
        <w:t>יצוין כי במסגרת טיעוניה לעונש</w:t>
      </w:r>
      <w:r>
        <w:rPr>
          <w:rtl w:val="true"/>
        </w:rPr>
        <w:t xml:space="preserve">, </w:t>
      </w:r>
      <w:r>
        <w:rPr>
          <w:rtl w:val="true"/>
        </w:rPr>
        <w:t>הבהירה ההגנה כי שירות</w:t>
      </w:r>
      <w:r>
        <w:rPr>
          <w:rtl w:val="true"/>
        </w:rPr>
        <w:t>-</w:t>
      </w:r>
      <w:r>
        <w:rPr>
          <w:rtl w:val="true"/>
        </w:rPr>
        <w:t>המבחן לא הבין נכון את הנאשם</w:t>
      </w:r>
      <w:r>
        <w:rPr>
          <w:rtl w:val="true"/>
        </w:rPr>
        <w:t xml:space="preserve">, </w:t>
      </w:r>
      <w:r>
        <w:rPr>
          <w:rtl w:val="true"/>
        </w:rPr>
        <w:t>וכי הנאשם אינו חוזר בו מהודאתו</w:t>
      </w:r>
      <w:r>
        <w:rPr>
          <w:rtl w:val="true"/>
        </w:rPr>
        <w:t xml:space="preserve">, </w:t>
      </w:r>
      <w:r>
        <w:rPr>
          <w:rtl w:val="true"/>
        </w:rPr>
        <w:t>הוא מודה כי הדברים אכן היו</w:t>
      </w:r>
      <w:r>
        <w:rPr>
          <w:rtl w:val="true"/>
        </w:rPr>
        <w:t xml:space="preserve">, </w:t>
      </w:r>
      <w:r>
        <w:rPr>
          <w:rtl w:val="true"/>
        </w:rPr>
        <w:t>אך טוען כי לא חשב שחבריו יוסיפו לפעול כפי שקבעו</w:t>
      </w:r>
      <w:r>
        <w:rPr>
          <w:rtl w:val="true"/>
        </w:rPr>
        <w:t>.</w:t>
      </w:r>
    </w:p>
    <w:p>
      <w:pPr>
        <w:pStyle w:val="Style11"/>
        <w:bidi w:val="1"/>
        <w:ind w:start="567" w:end="0"/>
        <w:jc w:val="both"/>
        <w:rPr/>
      </w:pPr>
      <w:r>
        <w:rPr>
          <w:rtl w:val="true"/>
        </w:rPr>
      </w:r>
    </w:p>
    <w:p>
      <w:pPr>
        <w:pStyle w:val="Style11"/>
        <w:numPr>
          <w:ilvl w:val="0"/>
          <w:numId w:val="2"/>
        </w:numPr>
        <w:bidi w:val="1"/>
        <w:ind w:hanging="567" w:start="567" w:end="0"/>
        <w:jc w:val="both"/>
        <w:rPr>
          <w:b/>
          <w:bCs/>
          <w:u w:val="single"/>
        </w:rPr>
      </w:pPr>
      <w:r>
        <w:rPr>
          <w:rtl w:val="true"/>
        </w:rPr>
        <w:t>שירות המבחן התרשם כי הנאשם מתקשה לתת אמון וכי תשובותיו בפני קצינת המבחן שטחיות ולקוניות</w:t>
      </w:r>
      <w:r>
        <w:rPr>
          <w:rtl w:val="true"/>
        </w:rPr>
        <w:t xml:space="preserve">. </w:t>
      </w:r>
      <w:r>
        <w:rPr>
          <w:rtl w:val="true"/>
        </w:rPr>
        <w:t>הנאשם אף מתקשה לזהות את המרכיבים הבעייתיים בהתנהלותו בעת ביצוע העבירה</w:t>
      </w:r>
      <w:r>
        <w:rPr>
          <w:rtl w:val="true"/>
        </w:rPr>
        <w:t xml:space="preserve">. </w:t>
      </w:r>
      <w:r>
        <w:rPr>
          <w:rtl w:val="true"/>
        </w:rPr>
        <w:t>לאור הכחשותיו את העובדות המצוינות בכתב האישום</w:t>
      </w:r>
      <w:r>
        <w:rPr>
          <w:rtl w:val="true"/>
        </w:rPr>
        <w:t xml:space="preserve">, </w:t>
      </w:r>
      <w:r>
        <w:rPr>
          <w:rtl w:val="true"/>
        </w:rPr>
        <w:t>וחוסר שיתוף הפעולה עם קצינת המבחן</w:t>
      </w:r>
      <w:r>
        <w:rPr>
          <w:rtl w:val="true"/>
        </w:rPr>
        <w:t xml:space="preserve">, </w:t>
      </w:r>
      <w:r>
        <w:rPr>
          <w:rtl w:val="true"/>
        </w:rPr>
        <w:t>לא ניתן להעריך את רמת הסיכון לביצוע עבירות דומות בעתיד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u w:val="single"/>
          <w:rtl w:val="true"/>
        </w:rPr>
        <w:t>לא הובאה המלצה טיפולית בעניינו של הנאשם</w:t>
      </w:r>
      <w:r>
        <w:rPr>
          <w:rtl w:val="true"/>
        </w:rPr>
        <w:t>.</w:t>
      </w:r>
    </w:p>
    <w:p>
      <w:pPr>
        <w:pStyle w:val="Style11"/>
        <w:bidi w:val="1"/>
        <w:ind w:start="567"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טיעוני הצדדים לעונש</w:t>
      </w:r>
    </w:p>
    <w:p>
      <w:pPr>
        <w:pStyle w:val="Style11"/>
        <w:bidi w:val="1"/>
        <w:ind w:start="360"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Style11"/>
        <w:numPr>
          <w:ilvl w:val="0"/>
          <w:numId w:val="2"/>
        </w:numPr>
        <w:bidi w:val="1"/>
        <w:ind w:hanging="567" w:start="567" w:end="0"/>
        <w:jc w:val="both"/>
        <w:rPr/>
      </w:pPr>
      <w:r>
        <w:rPr>
          <w:b/>
          <w:b/>
          <w:bCs/>
          <w:u w:val="single"/>
          <w:rtl w:val="true"/>
        </w:rPr>
        <w:t>ב</w:t>
      </w:r>
      <w:r>
        <w:rPr>
          <w:b/>
          <w:bCs/>
          <w:u w:val="single"/>
          <w:rtl w:val="true"/>
        </w:rPr>
        <w:t>"</w:t>
      </w:r>
      <w:r>
        <w:rPr>
          <w:b/>
          <w:b/>
          <w:bCs/>
          <w:u w:val="single"/>
          <w:rtl w:val="true"/>
        </w:rPr>
        <w:t>כ המאשימה</w:t>
      </w:r>
      <w:r>
        <w:rPr>
          <w:b/>
          <w:b/>
          <w:bCs/>
          <w:rtl w:val="true"/>
        </w:rPr>
        <w:t xml:space="preserve"> </w:t>
      </w:r>
      <w:r>
        <w:rPr>
          <w:rtl w:val="true"/>
        </w:rPr>
        <w:t>טען כי מעשיו של הנאשם הם מעשים בעלי אופי אידיאולוגי מובהק</w:t>
      </w:r>
      <w:r>
        <w:rPr>
          <w:rtl w:val="true"/>
        </w:rPr>
        <w:t xml:space="preserve">. </w:t>
      </w:r>
      <w:r>
        <w:rPr>
          <w:rtl w:val="true"/>
        </w:rPr>
        <w:t>המניע האידאולוגי מהווה נסיבה מחמירה בקביעת מתחם העונש</w:t>
      </w:r>
      <w:r>
        <w:rPr>
          <w:rtl w:val="true"/>
        </w:rPr>
        <w:t xml:space="preserve">. </w:t>
      </w:r>
      <w:r>
        <w:rPr>
          <w:rtl w:val="true"/>
        </w:rPr>
        <w:t>מדובר באירוע טרוריסטי לכל דבר</w:t>
      </w:r>
      <w:r>
        <w:rPr>
          <w:rtl w:val="true"/>
        </w:rPr>
        <w:t xml:space="preserve">, </w:t>
      </w:r>
      <w:r>
        <w:rPr>
          <w:rtl w:val="true"/>
        </w:rPr>
        <w:t>שנועד לפגוע בביטחון המדינה ואזרחיה</w:t>
      </w:r>
      <w:r>
        <w:rPr>
          <w:rtl w:val="true"/>
        </w:rPr>
        <w:t xml:space="preserve">, </w:t>
      </w:r>
      <w:r>
        <w:rPr>
          <w:rtl w:val="true"/>
        </w:rPr>
        <w:t>ואשר סוכל רק בשל מעצרה של חוליית הטרור על</w:t>
      </w:r>
      <w:r>
        <w:rPr>
          <w:rtl w:val="true"/>
        </w:rPr>
        <w:t>-</w:t>
      </w:r>
      <w:r>
        <w:rPr>
          <w:rtl w:val="true"/>
        </w:rPr>
        <w:t>ידי הביטחון המסכל הפלסטיני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Style11"/>
        <w:numPr>
          <w:ilvl w:val="0"/>
          <w:numId w:val="2"/>
        </w:numPr>
        <w:bidi w:val="1"/>
        <w:ind w:hanging="567" w:start="567" w:end="0"/>
        <w:jc w:val="both"/>
        <w:rPr/>
      </w:pPr>
      <w:r>
        <w:rPr>
          <w:rtl w:val="true"/>
        </w:rPr>
        <w:t>הנאשם ושותפיו תכננו את פעילותם בקפידה</w:t>
      </w:r>
      <w:r>
        <w:rPr>
          <w:rtl w:val="true"/>
        </w:rPr>
        <w:t xml:space="preserve">. </w:t>
      </w:r>
      <w:r>
        <w:rPr>
          <w:rtl w:val="true"/>
        </w:rPr>
        <w:t>חלקו של הנאשם בקשירת הקשר ובהקמת החוליה זהה לחלקם של חבריו</w:t>
      </w:r>
      <w:r>
        <w:rPr>
          <w:rtl w:val="true"/>
        </w:rPr>
        <w:t xml:space="preserve">. </w:t>
      </w:r>
      <w:r>
        <w:rPr>
          <w:rtl w:val="true"/>
        </w:rPr>
        <w:t>במסגרת פגישתם</w:t>
      </w:r>
      <w:r>
        <w:rPr>
          <w:rtl w:val="true"/>
        </w:rPr>
        <w:t xml:space="preserve">, </w:t>
      </w:r>
      <w:r>
        <w:rPr>
          <w:rtl w:val="true"/>
        </w:rPr>
        <w:t>הנאשם העלה אפשרות לבצע פיגוע ירי</w:t>
      </w:r>
      <w:r>
        <w:rPr>
          <w:rtl w:val="true"/>
        </w:rPr>
        <w:t xml:space="preserve">, </w:t>
      </w:r>
      <w:r>
        <w:rPr>
          <w:rtl w:val="true"/>
        </w:rPr>
        <w:t>אך הצעתו לא התקבלה</w:t>
      </w:r>
      <w:r>
        <w:rPr>
          <w:rtl w:val="true"/>
        </w:rPr>
        <w:t xml:space="preserve">. </w:t>
      </w:r>
    </w:p>
    <w:p>
      <w:pPr>
        <w:pStyle w:val="Style11"/>
        <w:rPr/>
      </w:pPr>
      <w:r>
        <w:rPr/>
      </w:r>
    </w:p>
    <w:p>
      <w:pPr>
        <w:pStyle w:val="Style11"/>
        <w:numPr>
          <w:ilvl w:val="0"/>
          <w:numId w:val="2"/>
        </w:numPr>
        <w:bidi w:val="1"/>
        <w:ind w:hanging="567" w:start="567" w:end="0"/>
        <w:jc w:val="both"/>
        <w:rPr/>
      </w:pPr>
      <w:r>
        <w:rPr>
          <w:rtl w:val="true"/>
        </w:rPr>
        <w:t>הנזק הצפוי מביצוע העבירה</w:t>
      </w:r>
      <w:r>
        <w:rPr>
          <w:rtl w:val="true"/>
        </w:rPr>
        <w:t xml:space="preserve">, </w:t>
      </w:r>
      <w:r>
        <w:rPr>
          <w:rtl w:val="true"/>
        </w:rPr>
        <w:t>פיגוע מטען חבלה</w:t>
      </w:r>
      <w:r>
        <w:rPr>
          <w:rtl w:val="true"/>
        </w:rPr>
        <w:t xml:space="preserve">, </w:t>
      </w:r>
      <w:r>
        <w:rPr>
          <w:rtl w:val="true"/>
        </w:rPr>
        <w:t>הינו נזק חמור ורצחני ביותר</w:t>
      </w:r>
      <w:r>
        <w:rPr>
          <w:rtl w:val="true"/>
        </w:rPr>
        <w:t xml:space="preserve">. </w:t>
      </w:r>
      <w:r>
        <w:rPr>
          <w:rtl w:val="true"/>
        </w:rPr>
        <w:t>אין להשוות בין פיגוע מסוג זה לפעולות טרור אחרות דוגמת השלכת בקבוקי תבערה</w:t>
      </w:r>
      <w:r>
        <w:rPr>
          <w:rtl w:val="true"/>
        </w:rPr>
        <w:t>.</w:t>
      </w:r>
    </w:p>
    <w:p>
      <w:pPr>
        <w:pStyle w:val="Style11"/>
        <w:bidi w:val="1"/>
        <w:ind w:start="567"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Style11"/>
        <w:numPr>
          <w:ilvl w:val="0"/>
          <w:numId w:val="2"/>
        </w:numPr>
        <w:bidi w:val="1"/>
        <w:ind w:hanging="567" w:start="567" w:end="0"/>
        <w:jc w:val="both"/>
        <w:rPr>
          <w:b/>
          <w:bCs/>
          <w:u w:val="single"/>
        </w:rPr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 xml:space="preserve">כ המאשימה טען כי מתחם העונש ההולם את מעשיו של הנאשם נע </w:t>
      </w:r>
      <w:r>
        <w:rPr>
          <w:b/>
          <w:b/>
          <w:bCs/>
          <w:u w:val="single"/>
          <w:rtl w:val="true"/>
        </w:rPr>
        <w:t xml:space="preserve">בין </w:t>
      </w:r>
      <w:r>
        <w:rPr>
          <w:b/>
          <w:bCs/>
          <w:u w:val="single"/>
        </w:rPr>
        <w:t>5</w:t>
      </w:r>
      <w:r>
        <w:rPr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</w:t>
      </w:r>
      <w:r>
        <w:rPr>
          <w:b/>
          <w:bCs/>
          <w:u w:val="single"/>
          <w:rtl w:val="true"/>
        </w:rPr>
        <w:t>-</w:t>
      </w:r>
      <w:r>
        <w:rPr>
          <w:b/>
          <w:bCs/>
          <w:u w:val="single"/>
        </w:rPr>
        <w:t>8</w:t>
      </w:r>
      <w:r>
        <w:rPr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שנות מאסר</w:t>
      </w:r>
      <w:r>
        <w:rPr>
          <w:b/>
          <w:bCs/>
          <w:u w:val="single"/>
          <w:rtl w:val="true"/>
        </w:rPr>
        <w:t>.</w:t>
      </w:r>
    </w:p>
    <w:p>
      <w:pPr>
        <w:pStyle w:val="Style11"/>
        <w:bidi w:val="1"/>
        <w:ind w:start="567"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Style11"/>
        <w:numPr>
          <w:ilvl w:val="0"/>
          <w:numId w:val="2"/>
        </w:numPr>
        <w:bidi w:val="1"/>
        <w:ind w:hanging="567" w:start="567" w:end="0"/>
        <w:jc w:val="both"/>
        <w:rPr/>
      </w:pPr>
      <w:r>
        <w:rPr>
          <w:rtl w:val="true"/>
        </w:rPr>
        <w:t>אשר לעונש הראוי בתוך מתחם הענישה</w:t>
      </w:r>
      <w:r>
        <w:rPr>
          <w:rtl w:val="true"/>
        </w:rPr>
        <w:t xml:space="preserve">, </w:t>
      </w:r>
      <w:r>
        <w:rPr>
          <w:rtl w:val="true"/>
        </w:rPr>
        <w:t>טען ב</w:t>
      </w:r>
      <w:r>
        <w:rPr>
          <w:rtl w:val="true"/>
        </w:rPr>
        <w:t>"</w:t>
      </w:r>
      <w:r>
        <w:rPr>
          <w:rtl w:val="true"/>
        </w:rPr>
        <w:t>כ המאשימה כי על שיקול ההרתעה להוות מרכיב דומיננטי בגזירת עונשו של הנאשם</w:t>
      </w:r>
      <w:r>
        <w:rPr>
          <w:rtl w:val="true"/>
        </w:rPr>
        <w:t xml:space="preserve">, </w:t>
      </w:r>
      <w:r>
        <w:rPr>
          <w:rtl w:val="true"/>
        </w:rPr>
        <w:t>זאת בשל אופי העבירות ובשים לב לכך שלנאשם הרשעה נוספת בעבירת אלימות</w:t>
      </w:r>
      <w:r>
        <w:rPr>
          <w:rtl w:val="true"/>
        </w:rPr>
        <w:t xml:space="preserve">. </w:t>
      </w:r>
      <w:r>
        <w:rPr>
          <w:rtl w:val="true"/>
        </w:rPr>
        <w:t>כפי שעולה מתסקיר שירות המבחן</w:t>
      </w:r>
      <w:r>
        <w:rPr>
          <w:rtl w:val="true"/>
        </w:rPr>
        <w:t xml:space="preserve">, </w:t>
      </w:r>
      <w:r>
        <w:rPr>
          <w:rtl w:val="true"/>
        </w:rPr>
        <w:t>הנאשם אינו נוטל אחריות על מעשיו</w:t>
      </w:r>
      <w:r>
        <w:rPr>
          <w:rtl w:val="true"/>
        </w:rPr>
        <w:t xml:space="preserve">, </w:t>
      </w:r>
      <w:r>
        <w:rPr>
          <w:rtl w:val="true"/>
        </w:rPr>
        <w:t>ולא קיימת כל המלצה לשיקומו</w:t>
      </w:r>
      <w:r>
        <w:rPr>
          <w:rtl w:val="true"/>
        </w:rPr>
        <w:t xml:space="preserve">. </w:t>
      </w:r>
      <w:r>
        <w:rPr>
          <w:rtl w:val="true"/>
        </w:rPr>
        <w:t>עם זאת</w:t>
      </w:r>
      <w:r>
        <w:rPr>
          <w:rtl w:val="true"/>
        </w:rPr>
        <w:t xml:space="preserve">, </w:t>
      </w:r>
      <w:r>
        <w:rPr>
          <w:rtl w:val="true"/>
        </w:rPr>
        <w:t>בשים לב לגילו הצעיר של הנאשם</w:t>
      </w:r>
      <w:r>
        <w:rPr>
          <w:rtl w:val="true"/>
        </w:rPr>
        <w:t xml:space="preserve">, </w:t>
      </w:r>
      <w:r>
        <w:rPr>
          <w:b/>
          <w:b/>
          <w:bCs/>
          <w:rtl w:val="true"/>
        </w:rPr>
        <w:t>מבקש ב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כ המאשימה לגזור עליו עונש המצוי באמצע מתחם הענישה</w:t>
      </w:r>
      <w:r>
        <w:rPr>
          <w:b/>
          <w:bCs/>
          <w:rtl w:val="true"/>
        </w:rPr>
        <w:t xml:space="preserve">- </w:t>
      </w:r>
      <w:r>
        <w:rPr>
          <w:b/>
          <w:bCs/>
        </w:rPr>
        <w:t>6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שנות מאסר בפועל</w:t>
      </w:r>
      <w:r>
        <w:rPr>
          <w:b/>
          <w:bCs/>
          <w:rtl w:val="true"/>
        </w:rPr>
        <w:t>.</w:t>
      </w:r>
    </w:p>
    <w:p>
      <w:pPr>
        <w:pStyle w:val="Style11"/>
        <w:bidi w:val="1"/>
        <w:ind w:start="567" w:end="0"/>
        <w:jc w:val="both"/>
        <w:rPr/>
      </w:pPr>
      <w:r>
        <w:rPr>
          <w:rtl w:val="true"/>
        </w:rPr>
      </w:r>
    </w:p>
    <w:p>
      <w:pPr>
        <w:pStyle w:val="Style11"/>
        <w:numPr>
          <w:ilvl w:val="0"/>
          <w:numId w:val="2"/>
        </w:numPr>
        <w:bidi w:val="1"/>
        <w:ind w:hanging="567" w:start="567" w:end="0"/>
        <w:jc w:val="both"/>
        <w:rPr/>
      </w:pPr>
      <w:r>
        <w:rPr>
          <w:b/>
          <w:b/>
          <w:bCs/>
          <w:u w:val="single"/>
          <w:rtl w:val="true"/>
        </w:rPr>
        <w:t>ב</w:t>
      </w:r>
      <w:r>
        <w:rPr>
          <w:b/>
          <w:bCs/>
          <w:u w:val="single"/>
          <w:rtl w:val="true"/>
        </w:rPr>
        <w:t>"</w:t>
      </w:r>
      <w:r>
        <w:rPr>
          <w:b/>
          <w:b/>
          <w:bCs/>
          <w:u w:val="single"/>
          <w:rtl w:val="true"/>
        </w:rPr>
        <w:t>כ הנאשם</w:t>
      </w:r>
      <w:r>
        <w:rPr>
          <w:b/>
          <w:b/>
          <w:bCs/>
          <w:rtl w:val="true"/>
        </w:rPr>
        <w:t xml:space="preserve"> </w:t>
      </w:r>
      <w:r>
        <w:rPr>
          <w:rtl w:val="true"/>
        </w:rPr>
        <w:t>טענה כי חלקו של הנאשם במעשים קטן ביותר</w:t>
      </w:r>
      <w:r>
        <w:rPr>
          <w:rtl w:val="true"/>
        </w:rPr>
        <w:t xml:space="preserve">. </w:t>
      </w:r>
      <w:r>
        <w:rPr>
          <w:rtl w:val="true"/>
        </w:rPr>
        <w:t>נמר</w:t>
      </w:r>
      <w:r>
        <w:rPr>
          <w:rtl w:val="true"/>
        </w:rPr>
        <w:t xml:space="preserve">,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א חק וע</w:t>
      </w:r>
      <w:r>
        <w:rPr>
          <w:rtl w:val="true"/>
        </w:rPr>
        <w:t>"</w:t>
      </w:r>
      <w:r>
        <w:rPr>
          <w:rtl w:val="true"/>
        </w:rPr>
        <w:t>א רחמן הקימו את החוליה והחליטו על מטרה כללית ומעורפלת של ביצוע פיגוע</w:t>
      </w:r>
      <w:r>
        <w:rPr>
          <w:rtl w:val="true"/>
        </w:rPr>
        <w:t xml:space="preserve">, </w:t>
      </w:r>
      <w:r>
        <w:rPr>
          <w:rtl w:val="true"/>
        </w:rPr>
        <w:t>ורק אז הציעו לנאשם להצטרף אליהם</w:t>
      </w:r>
      <w:r>
        <w:rPr>
          <w:rtl w:val="true"/>
        </w:rPr>
        <w:t xml:space="preserve">. </w:t>
      </w:r>
      <w:r>
        <w:rPr>
          <w:rtl w:val="true"/>
        </w:rPr>
        <w:t>הנאשם השתתף בפגישה יחידה</w:t>
      </w:r>
      <w:r>
        <w:rPr>
          <w:rtl w:val="true"/>
        </w:rPr>
        <w:t xml:space="preserve">, </w:t>
      </w:r>
      <w:r>
        <w:rPr>
          <w:rtl w:val="true"/>
        </w:rPr>
        <w:t>בה העלה הצעה שלא נבחרה</w:t>
      </w:r>
      <w:r>
        <w:rPr>
          <w:rtl w:val="true"/>
        </w:rPr>
        <w:t xml:space="preserve">, </w:t>
      </w:r>
      <w:r>
        <w:rPr>
          <w:rtl w:val="true"/>
        </w:rPr>
        <w:t>וכאשר חולקו התפקידים בין חברי החוליה</w:t>
      </w:r>
      <w:r>
        <w:rPr>
          <w:rtl w:val="true"/>
        </w:rPr>
        <w:t xml:space="preserve">, </w:t>
      </w:r>
      <w:r>
        <w:rPr>
          <w:rtl w:val="true"/>
        </w:rPr>
        <w:t>לא יועד לו כל תפקיד בביצוע המעשים בפועל</w:t>
      </w:r>
      <w:r>
        <w:rPr>
          <w:rtl w:val="true"/>
        </w:rPr>
        <w:t xml:space="preserve">. </w:t>
      </w:r>
      <w:r>
        <w:rPr>
          <w:rtl w:val="true"/>
        </w:rPr>
        <w:t xml:space="preserve">יתר חברי החוליה פעלו במשך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חודשים מבלי ליצור קשר עם הנאשם</w:t>
      </w:r>
      <w:r>
        <w:rPr>
          <w:rtl w:val="true"/>
        </w:rPr>
        <w:t xml:space="preserve">. </w:t>
      </w:r>
      <w:r>
        <w:rPr>
          <w:rtl w:val="true"/>
        </w:rPr>
        <w:t>מטען החבלה המאולתר אמנם הובא למספרה בה שהה הנאשם</w:t>
      </w:r>
      <w:r>
        <w:rPr>
          <w:rtl w:val="true"/>
        </w:rPr>
        <w:t xml:space="preserve">, </w:t>
      </w:r>
      <w:r>
        <w:rPr>
          <w:rtl w:val="true"/>
        </w:rPr>
        <w:t>אך הוא הובא על</w:t>
      </w:r>
      <w:r>
        <w:rPr>
          <w:rtl w:val="true"/>
        </w:rPr>
        <w:t>-</w:t>
      </w:r>
      <w:r>
        <w:rPr>
          <w:rtl w:val="true"/>
        </w:rPr>
        <w:t>מנת להציגו לנמר</w:t>
      </w:r>
      <w:r>
        <w:rPr>
          <w:rtl w:val="true"/>
        </w:rPr>
        <w:t xml:space="preserve">. </w:t>
      </w:r>
    </w:p>
    <w:p>
      <w:pPr>
        <w:pStyle w:val="Style11"/>
        <w:rPr/>
      </w:pPr>
      <w:r>
        <w:rPr/>
      </w:r>
    </w:p>
    <w:p>
      <w:pPr>
        <w:pStyle w:val="Style11"/>
        <w:numPr>
          <w:ilvl w:val="0"/>
          <w:numId w:val="2"/>
        </w:numPr>
        <w:bidi w:val="1"/>
        <w:ind w:hanging="567" w:start="567" w:end="0"/>
        <w:jc w:val="both"/>
        <w:rPr/>
      </w:pPr>
      <w:r>
        <w:rPr>
          <w:rtl w:val="true"/>
        </w:rPr>
        <w:t>ניסיון ייצור הנשק המיוחס לנאשם נוגע להצעתו כפי שעלתה בפגישה עם חברי החוליה בלבד</w:t>
      </w:r>
      <w:r>
        <w:rPr>
          <w:rtl w:val="true"/>
        </w:rPr>
        <w:t xml:space="preserve">. </w:t>
      </w:r>
      <w:r>
        <w:rPr>
          <w:rtl w:val="true"/>
        </w:rPr>
        <w:t>אין לייחס לנאשם ניסיון לייצר מטען חבלה</w:t>
      </w:r>
      <w:r>
        <w:rPr>
          <w:rtl w:val="true"/>
        </w:rPr>
        <w:t xml:space="preserve">, </w:t>
      </w:r>
      <w:r>
        <w:rPr>
          <w:rtl w:val="true"/>
        </w:rPr>
        <w:t>שכן הנאשם כלל לא היה שותף לכך</w:t>
      </w:r>
      <w:r>
        <w:rPr>
          <w:rtl w:val="true"/>
        </w:rPr>
        <w:t xml:space="preserve">. </w:t>
      </w:r>
      <w:r>
        <w:rPr>
          <w:rtl w:val="true"/>
        </w:rPr>
        <w:t>אשר לעבירת קשירת הקשר</w:t>
      </w:r>
      <w:r>
        <w:rPr>
          <w:rtl w:val="true"/>
        </w:rPr>
        <w:t xml:space="preserve">, </w:t>
      </w:r>
      <w:r>
        <w:rPr>
          <w:rtl w:val="true"/>
        </w:rPr>
        <w:t>לאור חלקו של הנאשם מדובר בקשירת קשר ברף הנמוך ביותר</w:t>
      </w:r>
      <w:r>
        <w:rPr>
          <w:rtl w:val="true"/>
        </w:rPr>
        <w:t>.</w:t>
      </w:r>
    </w:p>
    <w:p>
      <w:pPr>
        <w:pStyle w:val="Style11"/>
        <w:rPr/>
      </w:pPr>
      <w:r>
        <w:rPr/>
      </w:r>
    </w:p>
    <w:p>
      <w:pPr>
        <w:pStyle w:val="Style11"/>
        <w:numPr>
          <w:ilvl w:val="0"/>
          <w:numId w:val="2"/>
        </w:numPr>
        <w:bidi w:val="1"/>
        <w:ind w:hanging="567" w:start="567" w:end="0"/>
        <w:jc w:val="both"/>
        <w:rPr/>
      </w:pPr>
      <w:r>
        <w:rPr>
          <w:rtl w:val="true"/>
        </w:rPr>
        <w:t>לנאשם הרשעה נוספת בעבירת אלימות קלה שאין לה הקשר לאומני</w:t>
      </w:r>
      <w:r>
        <w:rPr>
          <w:rtl w:val="true"/>
        </w:rPr>
        <w:t xml:space="preserve">, </w:t>
      </w:r>
      <w:r>
        <w:rPr>
          <w:rtl w:val="true"/>
        </w:rPr>
        <w:t>בגינה הוטל עליו מאסר על תנאי בלבד</w:t>
      </w:r>
      <w:r>
        <w:rPr>
          <w:rtl w:val="true"/>
        </w:rPr>
        <w:t xml:space="preserve">. </w:t>
      </w:r>
      <w:r>
        <w:rPr>
          <w:rtl w:val="true"/>
        </w:rPr>
        <w:t>בנסיבות אלה</w:t>
      </w:r>
      <w:r>
        <w:rPr>
          <w:rtl w:val="true"/>
        </w:rPr>
        <w:t xml:space="preserve">, </w:t>
      </w:r>
      <w:r>
        <w:rPr>
          <w:rtl w:val="true"/>
        </w:rPr>
        <w:t>טענה ב</w:t>
      </w:r>
      <w:r>
        <w:rPr>
          <w:rtl w:val="true"/>
        </w:rPr>
        <w:t>"</w:t>
      </w:r>
      <w:r>
        <w:rPr>
          <w:rtl w:val="true"/>
        </w:rPr>
        <w:t xml:space="preserve">כ הנאשם כי </w:t>
      </w:r>
      <w:r>
        <w:rPr>
          <w:b/>
          <w:b/>
          <w:bCs/>
          <w:rtl w:val="true"/>
        </w:rPr>
        <w:t>יש להסתפק בימי מעצרו של הנאשם</w:t>
      </w:r>
      <w:r>
        <w:rPr>
          <w:rtl w:val="true"/>
        </w:rPr>
        <w:t xml:space="preserve">, </w:t>
      </w:r>
      <w:r>
        <w:rPr>
          <w:rtl w:val="true"/>
        </w:rPr>
        <w:t>ולא להטיל עליו מאסר ממושך כבקשת המאשימה</w:t>
      </w:r>
      <w:r>
        <w:rPr>
          <w:rtl w:val="true"/>
        </w:rPr>
        <w:t xml:space="preserve">. </w:t>
      </w:r>
    </w:p>
    <w:p>
      <w:pPr>
        <w:pStyle w:val="Style11"/>
        <w:bidi w:val="1"/>
        <w:ind w:start="567"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Style11"/>
        <w:numPr>
          <w:ilvl w:val="0"/>
          <w:numId w:val="2"/>
        </w:numPr>
        <w:bidi w:val="1"/>
        <w:ind w:hanging="567" w:start="567"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הנאשם</w:t>
      </w:r>
      <w:r>
        <w:rPr>
          <w:b/>
          <w:b/>
          <w:bCs/>
          <w:rtl w:val="true"/>
        </w:rPr>
        <w:t xml:space="preserve"> </w:t>
      </w:r>
      <w:r>
        <w:rPr>
          <w:rtl w:val="true"/>
        </w:rPr>
        <w:t>בדבריו לעונש מסר כי לא האמין שחברי החוליה יתקדמו עם התוכנית העבריינית</w:t>
      </w:r>
      <w:r>
        <w:rPr>
          <w:rtl w:val="true"/>
        </w:rPr>
        <w:t xml:space="preserve">, </w:t>
      </w:r>
      <w:r>
        <w:rPr>
          <w:rtl w:val="true"/>
        </w:rPr>
        <w:t>וחשב שמדובר בדיבורים גרידא</w:t>
      </w:r>
      <w:r>
        <w:rPr>
          <w:rtl w:val="true"/>
        </w:rPr>
        <w:t xml:space="preserve">. </w:t>
      </w:r>
      <w:r>
        <w:rPr>
          <w:rtl w:val="true"/>
        </w:rPr>
        <w:t>כמו כן לא שיער כי תהיה בכך פגיעה בביטחון המדינה</w:t>
      </w:r>
      <w:r>
        <w:rPr>
          <w:rtl w:val="true"/>
        </w:rPr>
        <w:t xml:space="preserve">. </w:t>
      </w:r>
    </w:p>
    <w:p>
      <w:pPr>
        <w:pStyle w:val="Style11"/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דיון והכרעה</w:t>
      </w:r>
    </w:p>
    <w:p>
      <w:pPr>
        <w:pStyle w:val="Normal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מתחם העונש ההולם</w:t>
      </w:r>
    </w:p>
    <w:p>
      <w:pPr>
        <w:pStyle w:val="Normal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ind w:end="0"/>
        <w:jc w:val="both"/>
        <w:rPr>
          <w:u w:val="single"/>
        </w:rPr>
      </w:pPr>
      <w:r>
        <w:rPr>
          <w:u w:val="single"/>
          <w:rtl w:val="true"/>
        </w:rPr>
        <w:t>הערך החברתי שנפגע ומידת הפגיעה בו</w:t>
      </w:r>
    </w:p>
    <w:p>
      <w:pPr>
        <w:pStyle w:val="Normal"/>
        <w:ind w:end="0"/>
        <w:jc w:val="both"/>
        <w:rPr>
          <w:u w:val="single"/>
        </w:rPr>
      </w:pPr>
      <w:r>
        <w:rPr>
          <w:u w:val="single"/>
          <w:rtl w:val="true"/>
        </w:rPr>
      </w:r>
    </w:p>
    <w:p>
      <w:pPr>
        <w:pStyle w:val="Style11"/>
        <w:numPr>
          <w:ilvl w:val="0"/>
          <w:numId w:val="2"/>
        </w:numPr>
        <w:bidi w:val="1"/>
        <w:ind w:hanging="567" w:start="567" w:end="0"/>
        <w:jc w:val="both"/>
        <w:rPr/>
      </w:pPr>
      <w:r>
        <w:rPr>
          <w:rtl w:val="true"/>
        </w:rPr>
        <w:t>הערכים המוגנים אשר נפגעו כתוצאה ממעשיו של הנאשם הם ההגנה על בטחון המדינה ועל שלום אזרחיה</w:t>
      </w:r>
      <w:r>
        <w:rPr>
          <w:rtl w:val="true"/>
        </w:rPr>
        <w:t xml:space="preserve">. </w:t>
      </w:r>
      <w:r>
        <w:rPr>
          <w:rtl w:val="true"/>
        </w:rPr>
        <w:t>על אף שפעילות חוליית הטרור בה לקח חלק הנאשם לא צלחה</w:t>
      </w:r>
      <w:r>
        <w:rPr>
          <w:rtl w:val="true"/>
        </w:rPr>
        <w:t xml:space="preserve">, </w:t>
      </w:r>
      <w:r>
        <w:rPr>
          <w:rtl w:val="true"/>
        </w:rPr>
        <w:t>לא ניתן לומר שהפגיעה בערכים אלה הינה קלה</w:t>
      </w:r>
      <w:r>
        <w:rPr>
          <w:rtl w:val="true"/>
        </w:rPr>
        <w:t xml:space="preserve">. </w:t>
      </w:r>
      <w:r>
        <w:rPr>
          <w:rtl w:val="true"/>
        </w:rPr>
        <w:t>הנאשם יחד עם שלושה נוספים קשרו קשר לעסוק בטרור ולפגוע במטרות ישראליות יהודיות</w:t>
      </w:r>
      <w:r>
        <w:rPr>
          <w:rtl w:val="true"/>
        </w:rPr>
        <w:t xml:space="preserve">. </w:t>
      </w:r>
      <w:r>
        <w:rPr>
          <w:rtl w:val="true"/>
        </w:rPr>
        <w:t>במסגרת הקשר הועלו הצעות שונות</w:t>
      </w:r>
      <w:r>
        <w:rPr>
          <w:rtl w:val="true"/>
        </w:rPr>
        <w:t xml:space="preserve">, </w:t>
      </w:r>
      <w:r>
        <w:rPr>
          <w:rtl w:val="true"/>
        </w:rPr>
        <w:t>כאשר בכולן טמונה סכנה ממשית לחיי אזרחי המדינה</w:t>
      </w:r>
      <w:r>
        <w:rPr>
          <w:rtl w:val="true"/>
        </w:rPr>
        <w:t xml:space="preserve">. </w:t>
      </w:r>
      <w:r>
        <w:rPr>
          <w:rtl w:val="true"/>
        </w:rPr>
        <w:t>ההצעה שהתקבלה בנוכחותו של הנאשם</w:t>
      </w:r>
      <w:r>
        <w:rPr>
          <w:rtl w:val="true"/>
        </w:rPr>
        <w:t xml:space="preserve">, </w:t>
      </w:r>
      <w:r>
        <w:rPr>
          <w:rtl w:val="true"/>
        </w:rPr>
        <w:t>לבצע פיגוע באמצעות מטען חבלה</w:t>
      </w:r>
      <w:r>
        <w:rPr>
          <w:rtl w:val="true"/>
        </w:rPr>
        <w:t xml:space="preserve">, </w:t>
      </w:r>
      <w:r>
        <w:rPr>
          <w:rtl w:val="true"/>
        </w:rPr>
        <w:t>הינה הצעה בעלת פוטנציאל קטלני ביותר</w:t>
      </w:r>
      <w:r>
        <w:rPr>
          <w:rtl w:val="true"/>
        </w:rPr>
        <w:t xml:space="preserve">. </w:t>
      </w:r>
      <w:r>
        <w:rPr>
          <w:rtl w:val="true"/>
        </w:rPr>
        <w:t>יתר חברי החוליה אף פעלו לייצור המטען בפועל</w:t>
      </w:r>
      <w:r>
        <w:rPr>
          <w:rtl w:val="true"/>
        </w:rPr>
        <w:t xml:space="preserve">, </w:t>
      </w:r>
      <w:r>
        <w:rPr>
          <w:rtl w:val="true"/>
        </w:rPr>
        <w:t>כמפורט בכתב</w:t>
      </w:r>
      <w:r>
        <w:rPr>
          <w:rtl w:val="true"/>
        </w:rPr>
        <w:t>-</w:t>
      </w:r>
      <w:r>
        <w:rPr>
          <w:rtl w:val="true"/>
        </w:rPr>
        <w:t>האישום</w:t>
      </w:r>
      <w:r>
        <w:rPr>
          <w:rtl w:val="true"/>
        </w:rPr>
        <w:t xml:space="preserve">. </w:t>
      </w:r>
      <w:r>
        <w:rPr>
          <w:rtl w:val="true"/>
        </w:rPr>
        <w:t>למרבה המזל</w:t>
      </w:r>
      <w:r>
        <w:rPr>
          <w:rtl w:val="true"/>
        </w:rPr>
        <w:t xml:space="preserve">, </w:t>
      </w:r>
      <w:r>
        <w:rPr>
          <w:rtl w:val="true"/>
        </w:rPr>
        <w:t>פעילות החוליה סוכלה לבסוף בשל מעצר חבריה על</w:t>
      </w:r>
      <w:r>
        <w:rPr>
          <w:rtl w:val="true"/>
        </w:rPr>
        <w:t>-</w:t>
      </w:r>
      <w:r>
        <w:rPr>
          <w:rtl w:val="true"/>
        </w:rPr>
        <w:t>ידי הביטחון המסכל הפלסטיני</w:t>
      </w:r>
      <w:r>
        <w:rPr>
          <w:rtl w:val="true"/>
        </w:rPr>
        <w:t xml:space="preserve">, </w:t>
      </w:r>
      <w:r>
        <w:rPr>
          <w:rtl w:val="true"/>
        </w:rPr>
        <w:t>אך קשירת הקשר והפעולות שנעשו לצורך הוצאתו אל הפועל מהווים כשלעצמם פגיעה של ממש בערכים עליהם נועדו עבירות הביטחון השונות להגן</w:t>
      </w:r>
      <w:r>
        <w:rPr>
          <w:rtl w:val="true"/>
        </w:rPr>
        <w:t>.</w:t>
      </w:r>
    </w:p>
    <w:p>
      <w:pPr>
        <w:pStyle w:val="Style11"/>
        <w:bidi w:val="1"/>
        <w:ind w:start="567"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>
          <w:u w:val="single"/>
        </w:rPr>
      </w:pPr>
      <w:r>
        <w:rPr>
          <w:u w:val="single"/>
          <w:rtl w:val="true"/>
        </w:rPr>
        <w:t>הנסיבות הקשורות בביצוע העבירות</w:t>
      </w:r>
    </w:p>
    <w:p>
      <w:pPr>
        <w:pStyle w:val="Normal"/>
        <w:ind w:start="720" w:end="0"/>
        <w:jc w:val="both"/>
        <w:rPr>
          <w:u w:val="single"/>
        </w:rPr>
      </w:pPr>
      <w:r>
        <w:rPr>
          <w:u w:val="single"/>
          <w:rtl w:val="true"/>
        </w:rPr>
      </w:r>
    </w:p>
    <w:p>
      <w:pPr>
        <w:pStyle w:val="Style11"/>
        <w:numPr>
          <w:ilvl w:val="0"/>
          <w:numId w:val="2"/>
        </w:numPr>
        <w:bidi w:val="1"/>
        <w:ind w:hanging="567" w:start="567" w:end="0"/>
        <w:jc w:val="both"/>
        <w:rPr/>
      </w:pPr>
      <w:r>
        <w:rPr>
          <w:rtl w:val="true"/>
        </w:rPr>
        <w:t>הפעולה הרצחנית אותה ניסו חברי החוליה להוציא לפועל תוכננה לאורך מספר חודשים</w:t>
      </w:r>
      <w:r>
        <w:rPr>
          <w:rtl w:val="true"/>
        </w:rPr>
        <w:t xml:space="preserve">. </w:t>
      </w:r>
      <w:r>
        <w:rPr>
          <w:rtl w:val="true"/>
        </w:rPr>
        <w:t>במסגרת המפגש בין חברי החוליה הועלו הצעות שונות והתקבלה החלטה על ביצוע פיגוע באמצעות מטען חבלה</w:t>
      </w:r>
      <w:r>
        <w:rPr>
          <w:rtl w:val="true"/>
        </w:rPr>
        <w:t xml:space="preserve">. </w:t>
      </w:r>
      <w:r>
        <w:rPr>
          <w:rtl w:val="true"/>
        </w:rPr>
        <w:t>במהלך הפגישה חולקו ליתר חברי החוליה תפקידים שונים לצורך ייצור המטען</w:t>
      </w:r>
      <w:r>
        <w:rPr>
          <w:rtl w:val="true"/>
        </w:rPr>
        <w:t xml:space="preserve">, </w:t>
      </w:r>
      <w:r>
        <w:rPr>
          <w:rtl w:val="true"/>
        </w:rPr>
        <w:t>והשלושה פעלו בהתאם לנקבע</w:t>
      </w:r>
      <w:r>
        <w:rPr>
          <w:rtl w:val="true"/>
        </w:rPr>
        <w:t xml:space="preserve">. </w:t>
      </w:r>
      <w:r>
        <w:rPr>
          <w:rtl w:val="true"/>
        </w:rPr>
        <w:t>יש בתכנון המעשים כדי להוות נסיבה מחמירה במסגרת קביעת מתחם הענישה אף ביחס לנאשם</w:t>
      </w:r>
      <w:r>
        <w:rPr>
          <w:rtl w:val="true"/>
        </w:rPr>
        <w:t xml:space="preserve">, </w:t>
      </w:r>
      <w:r>
        <w:rPr>
          <w:rtl w:val="true"/>
        </w:rPr>
        <w:t>על אף שלא קיבל תפקיד במסגרת חלוקת העבודה בין חברי החוליה</w:t>
      </w:r>
      <w:r>
        <w:rPr>
          <w:rtl w:val="true"/>
        </w:rPr>
        <w:t xml:space="preserve">. </w:t>
      </w:r>
      <w:r>
        <w:rPr>
          <w:rtl w:val="true"/>
        </w:rPr>
        <w:t>התכנון מצביע על כך שהנאשם הבין היטב את רצינות כוונותיהם הרצחניות של חבריו לחוליה</w:t>
      </w:r>
      <w:r>
        <w:rPr>
          <w:rtl w:val="true"/>
        </w:rPr>
        <w:t xml:space="preserve">, </w:t>
      </w:r>
      <w:r>
        <w:rPr>
          <w:rtl w:val="true"/>
        </w:rPr>
        <w:t>ועל אף זאת</w:t>
      </w:r>
      <w:r>
        <w:rPr>
          <w:rtl w:val="true"/>
        </w:rPr>
        <w:t xml:space="preserve">, </w:t>
      </w:r>
      <w:r>
        <w:rPr>
          <w:rtl w:val="true"/>
        </w:rPr>
        <w:t>בחר להשתתף בפעילותה</w:t>
      </w:r>
      <w:r>
        <w:rPr>
          <w:rtl w:val="true"/>
        </w:rPr>
        <w:t>.</w:t>
      </w:r>
    </w:p>
    <w:p>
      <w:pPr>
        <w:pStyle w:val="Style11"/>
        <w:bidi w:val="1"/>
        <w:ind w:start="567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/>
        <w:ind w:hanging="567" w:start="567" w:end="0"/>
        <w:jc w:val="both"/>
        <w:rPr>
          <w:u w:val="single"/>
        </w:rPr>
      </w:pPr>
      <w:r>
        <w:rPr>
          <w:rtl w:val="true"/>
        </w:rPr>
        <w:t>הנזק הצפוי מביצוע העבירה</w:t>
      </w:r>
      <w:r>
        <w:rPr>
          <w:rtl w:val="true"/>
        </w:rPr>
        <w:t xml:space="preserve">, </w:t>
      </w:r>
      <w:r>
        <w:rPr>
          <w:rtl w:val="true"/>
        </w:rPr>
        <w:t>פיגוע מטען חבלה</w:t>
      </w:r>
      <w:r>
        <w:rPr>
          <w:rtl w:val="true"/>
        </w:rPr>
        <w:t xml:space="preserve">, </w:t>
      </w:r>
      <w:r>
        <w:rPr>
          <w:rtl w:val="true"/>
        </w:rPr>
        <w:t>הינו נזק חמור ורצחני ביותר</w:t>
      </w:r>
      <w:r>
        <w:rPr>
          <w:rtl w:val="true"/>
        </w:rPr>
        <w:t xml:space="preserve">. </w:t>
      </w:r>
      <w:r>
        <w:rPr>
          <w:rtl w:val="true"/>
        </w:rPr>
        <w:t>צודק ב</w:t>
      </w:r>
      <w:r>
        <w:rPr>
          <w:rtl w:val="true"/>
        </w:rPr>
        <w:t>"</w:t>
      </w:r>
      <w:r>
        <w:rPr>
          <w:rtl w:val="true"/>
        </w:rPr>
        <w:t>כ המאשימה כי אין להשוות בין פיגוע מסוג זה לפעולות טרור אחרות דוגמת השלכת בקבוקי תבערה</w:t>
      </w:r>
      <w:r>
        <w:rPr>
          <w:rtl w:val="true"/>
        </w:rPr>
        <w:t xml:space="preserve">. </w:t>
      </w:r>
      <w:r>
        <w:rPr>
          <w:rtl w:val="true"/>
        </w:rPr>
        <w:t>העובדה שהמעשים נמנעו לא בשל חוסר יכולת להוציאם אל הפועל אלא בשל מעצר החוליה על</w:t>
      </w:r>
      <w:r>
        <w:rPr>
          <w:rtl w:val="true"/>
        </w:rPr>
        <w:t>-</w:t>
      </w:r>
      <w:r>
        <w:rPr>
          <w:rtl w:val="true"/>
        </w:rPr>
        <w:t>ידי הביטחון המסכל הפלסטיני</w:t>
      </w:r>
      <w:r>
        <w:rPr>
          <w:rtl w:val="true"/>
        </w:rPr>
        <w:t xml:space="preserve">, </w:t>
      </w:r>
      <w:r>
        <w:rPr>
          <w:rtl w:val="true"/>
        </w:rPr>
        <w:t>מדגישה את החומרה</w:t>
      </w:r>
      <w:r>
        <w:rPr>
          <w:rtl w:val="true"/>
        </w:rPr>
        <w:t>.</w:t>
      </w:r>
    </w:p>
    <w:p>
      <w:pPr>
        <w:pStyle w:val="Normal"/>
        <w:bidi w:val="0"/>
        <w:jc w:val="both"/>
        <w:rPr>
          <w:u w:val="single"/>
        </w:rPr>
      </w:pPr>
      <w:r>
        <w:rPr>
          <w:u w:val="single"/>
        </w:rPr>
      </w:r>
    </w:p>
    <w:p>
      <w:pPr>
        <w:pStyle w:val="Style11"/>
        <w:numPr>
          <w:ilvl w:val="0"/>
          <w:numId w:val="2"/>
        </w:numPr>
        <w:bidi w:val="1"/>
        <w:ind w:hanging="567" w:start="567" w:end="0"/>
        <w:jc w:val="both"/>
        <w:rPr/>
      </w:pPr>
      <w:r>
        <w:rPr>
          <w:rtl w:val="true"/>
        </w:rPr>
        <w:t>חלקו של הנאשם בכל הנוגע לקשירת הקשר ולשלבים הראשונים של ייסוד החוליה אינו שונה מהותית מחלקם של חבריו</w:t>
      </w:r>
      <w:r>
        <w:rPr>
          <w:rtl w:val="true"/>
        </w:rPr>
        <w:t xml:space="preserve">: </w:t>
      </w:r>
      <w:r>
        <w:rPr>
          <w:rtl w:val="true"/>
        </w:rPr>
        <w:t>הנאשם הביע הסכמתו להצטרף להקמת החוליה כשמטרתה לפגוע באמצעות נשק חם במטרות ישראליות</w:t>
      </w:r>
      <w:r>
        <w:rPr>
          <w:rtl w:val="true"/>
        </w:rPr>
        <w:t xml:space="preserve">; </w:t>
      </w:r>
      <w:r>
        <w:rPr>
          <w:rtl w:val="true"/>
        </w:rPr>
        <w:t>השתתף במפגש בו הועלו האפשרויות השונות לפגיעה באזרחים</w:t>
      </w:r>
      <w:r>
        <w:rPr>
          <w:rtl w:val="true"/>
        </w:rPr>
        <w:t xml:space="preserve">; </w:t>
      </w:r>
      <w:r>
        <w:rPr>
          <w:rtl w:val="true"/>
        </w:rPr>
        <w:t>הנאשם אף העלה בעצמו את ההצעה לבצע פיגוע ירי</w:t>
      </w:r>
      <w:r>
        <w:rPr>
          <w:rtl w:val="true"/>
        </w:rPr>
        <w:t xml:space="preserve">, </w:t>
      </w:r>
      <w:r>
        <w:rPr>
          <w:rtl w:val="true"/>
        </w:rPr>
        <w:t>הצעה שלא התקבלה</w:t>
      </w:r>
      <w:r>
        <w:rPr>
          <w:rtl w:val="true"/>
        </w:rPr>
        <w:t xml:space="preserve">. </w:t>
      </w:r>
      <w:r>
        <w:rPr>
          <w:rtl w:val="true"/>
        </w:rPr>
        <w:t>ואולם</w:t>
      </w:r>
      <w:r>
        <w:rPr>
          <w:rtl w:val="true"/>
        </w:rPr>
        <w:t xml:space="preserve">, </w:t>
      </w:r>
      <w:r>
        <w:rPr>
          <w:rtl w:val="true"/>
        </w:rPr>
        <w:t>החל משלב זה</w:t>
      </w:r>
      <w:r>
        <w:rPr>
          <w:rtl w:val="true"/>
        </w:rPr>
        <w:t xml:space="preserve">, </w:t>
      </w:r>
      <w:r>
        <w:rPr>
          <w:rtl w:val="true"/>
        </w:rPr>
        <w:t>הנאשם לא לקח חלק בהוצאת התוכנית העבריינית אל הפועל</w:t>
      </w:r>
      <w:r>
        <w:rPr>
          <w:rtl w:val="true"/>
        </w:rPr>
        <w:t xml:space="preserve">. </w:t>
      </w:r>
      <w:r>
        <w:rPr>
          <w:rtl w:val="true"/>
        </w:rPr>
        <w:t>הנאשם לא השתתף בייצור המטען</w:t>
      </w:r>
      <w:r>
        <w:rPr>
          <w:rtl w:val="true"/>
        </w:rPr>
        <w:t xml:space="preserve">, </w:t>
      </w:r>
      <w:r>
        <w:rPr>
          <w:rtl w:val="true"/>
        </w:rPr>
        <w:t>וכל חלקו ביחס לעבירת ניסיון ייצור הנשק נוגע לעצם השתתפותו בפגישה בה הועלתה ההצעה לבצע פיגוע מטען</w:t>
      </w:r>
      <w:r>
        <w:rPr>
          <w:rtl w:val="true"/>
        </w:rPr>
        <w:t xml:space="preserve">. </w:t>
      </w:r>
      <w:r>
        <w:rPr>
          <w:rtl w:val="true"/>
        </w:rPr>
        <w:t>מובן כי חלקו המצומצם של הנאשם ביחס לעבירה זו יילקח בחשבון בקביעת מתחם העונש</w:t>
      </w:r>
      <w:r>
        <w:rPr>
          <w:rtl w:val="true"/>
        </w:rPr>
        <w:t>.</w:t>
      </w:r>
    </w:p>
    <w:p>
      <w:pPr>
        <w:pStyle w:val="Style11"/>
        <w:rPr>
          <w:u w:val="single"/>
        </w:rPr>
      </w:pPr>
      <w:r>
        <w:rPr>
          <w:u w:val="single"/>
        </w:rPr>
      </w:r>
    </w:p>
    <w:p>
      <w:pPr>
        <w:pStyle w:val="Style11"/>
        <w:rPr>
          <w:u w:val="single"/>
        </w:rPr>
      </w:pPr>
      <w:r>
        <w:rPr>
          <w:u w:val="single"/>
        </w:rPr>
      </w:r>
    </w:p>
    <w:p>
      <w:pPr>
        <w:pStyle w:val="Style11"/>
        <w:rPr>
          <w:u w:val="single"/>
        </w:rPr>
      </w:pPr>
      <w:r>
        <w:rPr>
          <w:u w:val="single"/>
        </w:rPr>
      </w:r>
    </w:p>
    <w:p>
      <w:pPr>
        <w:pStyle w:val="Normal"/>
        <w:ind w:end="0"/>
        <w:jc w:val="both"/>
        <w:rPr>
          <w:u w:val="single"/>
        </w:rPr>
      </w:pPr>
      <w:r>
        <w:rPr>
          <w:u w:val="single"/>
          <w:rtl w:val="true"/>
        </w:rPr>
        <w:t>מדיניות הענישה הנהוגה</w:t>
      </w:r>
    </w:p>
    <w:p>
      <w:pPr>
        <w:pStyle w:val="Normal"/>
        <w:ind w:end="0"/>
        <w:jc w:val="both"/>
        <w:rPr>
          <w:u w:val="single"/>
        </w:rPr>
      </w:pPr>
      <w:r>
        <w:rPr>
          <w:u w:val="single"/>
          <w:rtl w:val="true"/>
        </w:rPr>
      </w:r>
    </w:p>
    <w:p>
      <w:pPr>
        <w:pStyle w:val="Style11"/>
        <w:numPr>
          <w:ilvl w:val="0"/>
          <w:numId w:val="2"/>
        </w:numPr>
        <w:bidi w:val="1"/>
        <w:ind w:hanging="567" w:start="567" w:end="0"/>
        <w:jc w:val="both"/>
        <w:rPr/>
      </w:pPr>
      <w:r>
        <w:rPr>
          <w:rtl w:val="true"/>
        </w:rPr>
        <w:t>העונש לצד עבירת קשירת הקשר</w:t>
      </w:r>
      <w:r>
        <w:rPr>
          <w:rtl w:val="true"/>
        </w:rPr>
        <w:t xml:space="preserve">, </w:t>
      </w:r>
      <w:r>
        <w:rPr>
          <w:rtl w:val="true"/>
        </w:rPr>
        <w:t>כאשר מטרת הקשר הינה הקמת חוליית טרור לביצוע פיגועים בנשק חם</w:t>
      </w:r>
      <w:r>
        <w:rPr>
          <w:rtl w:val="true"/>
        </w:rPr>
        <w:t xml:space="preserve">, </w:t>
      </w:r>
      <w:r>
        <w:rPr>
          <w:rtl w:val="true"/>
        </w:rPr>
        <w:t xml:space="preserve">הינו עד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שנות מאסר</w:t>
      </w:r>
      <w:r>
        <w:rPr>
          <w:rtl w:val="true"/>
        </w:rPr>
        <w:t xml:space="preserve">. </w:t>
      </w:r>
      <w:r>
        <w:rPr>
          <w:rtl w:val="true"/>
        </w:rPr>
        <w:t>הנאשם הורשע בנוסף בעבירת ניסיון לייצור נשק בצוותא חדא</w:t>
      </w:r>
      <w:r>
        <w:rPr>
          <w:rtl w:val="true"/>
        </w:rPr>
        <w:t xml:space="preserve">, </w:t>
      </w:r>
      <w:r>
        <w:rPr>
          <w:rtl w:val="true"/>
        </w:rPr>
        <w:t xml:space="preserve">עבירה שהעונש לצידה הינו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שנות מאסר</w:t>
      </w:r>
      <w:r>
        <w:rPr>
          <w:rtl w:val="true"/>
        </w:rPr>
        <w:t xml:space="preserve">, </w:t>
      </w:r>
      <w:r>
        <w:rPr>
          <w:rtl w:val="true"/>
        </w:rPr>
        <w:t>אם כי כפי שתואר לעיל</w:t>
      </w:r>
      <w:r>
        <w:rPr>
          <w:rtl w:val="true"/>
        </w:rPr>
        <w:t xml:space="preserve">, </w:t>
      </w:r>
      <w:r>
        <w:rPr>
          <w:rtl w:val="true"/>
        </w:rPr>
        <w:t>חלקו של הנאשם בביצוע עבירה זו קטן משמעותית מחלקם של יתר חברי החוליה</w:t>
      </w:r>
      <w:r>
        <w:rPr>
          <w:rtl w:val="true"/>
        </w:rPr>
        <w:t>.</w:t>
      </w:r>
    </w:p>
    <w:p>
      <w:pPr>
        <w:pStyle w:val="Style11"/>
        <w:bidi w:val="1"/>
        <w:ind w:start="567" w:end="0"/>
        <w:jc w:val="both"/>
        <w:rPr/>
      </w:pPr>
      <w:r>
        <w:rPr>
          <w:rtl w:val="true"/>
        </w:rPr>
      </w:r>
    </w:p>
    <w:p>
      <w:pPr>
        <w:pStyle w:val="Style11"/>
        <w:numPr>
          <w:ilvl w:val="0"/>
          <w:numId w:val="2"/>
        </w:numPr>
        <w:bidi w:val="1"/>
        <w:ind w:hanging="567" w:start="567" w:end="0"/>
        <w:jc w:val="both"/>
        <w:rPr/>
      </w:pPr>
      <w:r>
        <w:rPr>
          <w:rtl w:val="true"/>
        </w:rPr>
        <w:t>לגבי פעולות שמטרתן לפגוע בביטחון המדינה</w:t>
      </w:r>
      <w:r>
        <w:rPr>
          <w:rtl w:val="true"/>
        </w:rPr>
        <w:t xml:space="preserve">, </w:t>
      </w:r>
      <w:r>
        <w:rPr>
          <w:rtl w:val="true"/>
        </w:rPr>
        <w:t>נאמר לאחרונה ב</w:t>
      </w:r>
      <w:hyperlink r:id="rId1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2937/13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טארק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 ישראל</w:t>
      </w:r>
      <w:r>
        <w:rPr>
          <w:rtl w:val="true"/>
        </w:rPr>
        <w:t xml:space="preserve"> </w:t>
      </w:r>
      <w:r>
        <w:rPr>
          <w:rFonts w:cs="Times New Roman" w:ascii="Times New Roman" w:hAnsi="Times New Roman"/>
          <w:sz w:val="22"/>
          <w:rtl w:val="true"/>
        </w:rPr>
        <w:t>[</w:t>
      </w:r>
      <w:r>
        <w:rPr>
          <w:rFonts w:ascii="Times New Roman" w:hAnsi="Times New Roman" w:cs="Times New Roman"/>
          <w:sz w:val="22"/>
          <w:sz w:val="22"/>
          <w:rtl w:val="true"/>
        </w:rPr>
        <w:t>פורסם בנבו</w:t>
      </w:r>
      <w:r>
        <w:rPr>
          <w:rFonts w:cs="Times New Roman" w:ascii="Times New Roman" w:hAnsi="Times New Roman"/>
          <w:sz w:val="22"/>
          <w:rtl w:val="true"/>
        </w:rPr>
        <w:t xml:space="preserve">] </w:t>
      </w:r>
      <w:r>
        <w:rPr>
          <w:rtl w:val="true"/>
        </w:rPr>
        <w:t>(</w:t>
      </w:r>
      <w:r>
        <w:rPr/>
        <w:t>27.7.2014</w:t>
      </w:r>
      <w:r>
        <w:rPr>
          <w:rtl w:val="true"/>
        </w:rPr>
        <w:t>):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start="1360" w:end="993"/>
        <w:jc w:val="both"/>
        <w:rPr>
          <w:b/>
          <w:bCs/>
        </w:rPr>
      </w:pP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תחת פעולות לפגיעה בביטחונה רגזה ארץ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 xml:space="preserve">ותחת ניסיון הריגה באזרחיה לא תוכל שאת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השוו</w:t>
      </w:r>
      <w:r>
        <w:rPr>
          <w:b/>
          <w:bCs/>
          <w:rtl w:val="true"/>
        </w:rPr>
        <w:t xml:space="preserve">: </w:t>
      </w:r>
      <w:r>
        <w:rPr>
          <w:b/>
          <w:b/>
          <w:bCs/>
          <w:rtl w:val="true"/>
        </w:rPr>
        <w:t>משלי ל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כא</w:t>
      </w:r>
      <w:r>
        <w:rPr>
          <w:b/>
          <w:bCs/>
          <w:rtl w:val="true"/>
        </w:rPr>
        <w:t xml:space="preserve">). </w:t>
      </w:r>
      <w:r>
        <w:rPr>
          <w:b/>
          <w:b/>
          <w:bCs/>
          <w:rtl w:val="true"/>
        </w:rPr>
        <w:t>המענה המשפטי לפעולות הטרור חייב להיות נחוש ולהעביר מסר ברור ומרתיע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יבין היטב החפץ לפגוע בליבת החיים של המדינה ותושביה כי אף בית המשפט יילחם בתופעה  באמצעות הכלים המוענקים לו על</w:t>
      </w:r>
      <w:r>
        <w:rPr>
          <w:b/>
          <w:bCs/>
          <w:rtl w:val="true"/>
        </w:rPr>
        <w:t>-</w:t>
      </w:r>
      <w:r>
        <w:rPr>
          <w:b/>
          <w:b/>
          <w:bCs/>
          <w:rtl w:val="true"/>
        </w:rPr>
        <w:t>ידי המחוקק בדמות החמרה ממשית בעונש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כך תמיד וכך במיוחד על רקע המציאות הביטחונית באזורנו בשנים האחרונות</w:t>
      </w:r>
      <w:r>
        <w:rPr>
          <w:b/>
          <w:bCs/>
          <w:rtl w:val="true"/>
        </w:rPr>
        <w:t xml:space="preserve">". </w:t>
      </w:r>
    </w:p>
    <w:p>
      <w:pPr>
        <w:pStyle w:val="Style11"/>
        <w:bidi w:val="1"/>
        <w:ind w:start="567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/>
        <w:ind w:hanging="567" w:start="567" w:end="0"/>
        <w:jc w:val="both"/>
        <w:rPr/>
      </w:pPr>
      <w:r>
        <w:rPr>
          <w:rtl w:val="true"/>
        </w:rPr>
        <w:t>המאשימה הגישה לעיוני שלושה פסקי</w:t>
      </w:r>
      <w:r>
        <w:rPr>
          <w:rtl w:val="true"/>
        </w:rPr>
        <w:t>-</w:t>
      </w:r>
      <w:r>
        <w:rPr>
          <w:rtl w:val="true"/>
        </w:rPr>
        <w:t>דין שעניינם קשירת קשר לביצוע פיגועים באמצעות מטעני חבלה</w:t>
      </w:r>
      <w:r>
        <w:rPr>
          <w:rtl w:val="true"/>
        </w:rPr>
        <w:t xml:space="preserve">, </w:t>
      </w:r>
      <w:r>
        <w:rPr>
          <w:u w:val="single"/>
          <w:rtl w:val="true"/>
        </w:rPr>
        <w:t>בשילוב עבירות חמורות נוספות לרבות ייצור נשק</w:t>
      </w:r>
      <w:r>
        <w:rPr>
          <w:rtl w:val="true"/>
        </w:rPr>
        <w:t xml:space="preserve">. </w:t>
      </w:r>
      <w:r>
        <w:rPr>
          <w:rtl w:val="true"/>
        </w:rPr>
        <w:t>ואולם</w:t>
      </w:r>
      <w:r>
        <w:rPr>
          <w:rtl w:val="true"/>
        </w:rPr>
        <w:t xml:space="preserve">, </w:t>
      </w:r>
      <w:r>
        <w:rPr>
          <w:rtl w:val="true"/>
        </w:rPr>
        <w:t>עיון בפסקי</w:t>
      </w:r>
      <w:r>
        <w:rPr>
          <w:rtl w:val="true"/>
        </w:rPr>
        <w:t>-</w:t>
      </w:r>
      <w:r>
        <w:rPr>
          <w:rtl w:val="true"/>
        </w:rPr>
        <w:t>הדין מעלה כי מדובר בקשירת קשר חמורה בהרבה</w:t>
      </w:r>
      <w:r>
        <w:rPr>
          <w:rtl w:val="true"/>
        </w:rPr>
        <w:t xml:space="preserve">, </w:t>
      </w:r>
      <w:r>
        <w:rPr>
          <w:rtl w:val="true"/>
        </w:rPr>
        <w:t>לביצוע פעולות טרור רבות וחמורות</w:t>
      </w:r>
      <w:r>
        <w:rPr>
          <w:rtl w:val="true"/>
        </w:rPr>
        <w:t xml:space="preserve">, </w:t>
      </w:r>
      <w:r>
        <w:rPr>
          <w:rtl w:val="true"/>
        </w:rPr>
        <w:t>כאשר המעשים בוצעו בשיתוף פעולה מלא של הנאשמים הרלוונטיים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 xml:space="preserve">לא ניתן לראות בעונשים שנגזרו במקרים אלה </w:t>
      </w:r>
      <w:r>
        <w:rPr>
          <w:rtl w:val="true"/>
        </w:rPr>
        <w:t>(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שנות מאסר</w:t>
      </w:r>
      <w:r>
        <w:rPr>
          <w:rtl w:val="true"/>
        </w:rPr>
        <w:t xml:space="preserve">) </w:t>
      </w:r>
      <w:r>
        <w:rPr>
          <w:rtl w:val="true"/>
        </w:rPr>
        <w:t>כרף ענישה ראוי במקרה שלנו</w:t>
      </w:r>
      <w:r>
        <w:rPr>
          <w:rtl w:val="true"/>
        </w:rPr>
        <w:t>.</w:t>
      </w:r>
    </w:p>
    <w:p>
      <w:pPr>
        <w:pStyle w:val="Style11"/>
        <w:rPr/>
      </w:pPr>
      <w:r>
        <w:rPr/>
      </w:r>
    </w:p>
    <w:p>
      <w:pPr>
        <w:pStyle w:val="Normal"/>
        <w:numPr>
          <w:ilvl w:val="0"/>
          <w:numId w:val="2"/>
        </w:numPr>
        <w:spacing w:lineRule="auto" w:line="360"/>
        <w:ind w:hanging="567" w:start="567" w:end="0"/>
        <w:jc w:val="both"/>
        <w:rPr/>
      </w:pPr>
      <w:r>
        <w:rPr>
          <w:rtl w:val="true"/>
        </w:rPr>
        <w:t>ההגנה הגישה לעיוני מספר פסקי</w:t>
      </w:r>
      <w:r>
        <w:rPr>
          <w:rtl w:val="true"/>
        </w:rPr>
        <w:t>-</w:t>
      </w:r>
      <w:r>
        <w:rPr>
          <w:rtl w:val="true"/>
        </w:rPr>
        <w:t>דין שעניינם קשירת קשר לביצוע טרור באמצעות זריקת בקבוקי תבערה</w:t>
      </w:r>
      <w:r>
        <w:rPr>
          <w:rtl w:val="true"/>
        </w:rPr>
        <w:t xml:space="preserve">, </w:t>
      </w:r>
      <w:r>
        <w:rPr>
          <w:rtl w:val="true"/>
        </w:rPr>
        <w:t xml:space="preserve">בהם הוטלו על הנאשמים עונשים הנעים בין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 מאסר בפועל</w:t>
      </w:r>
      <w:r>
        <w:rPr>
          <w:rtl w:val="true"/>
        </w:rPr>
        <w:t xml:space="preserve">. </w:t>
      </w:r>
      <w:r>
        <w:rPr>
          <w:rtl w:val="true"/>
        </w:rPr>
        <w:t>ואולם</w:t>
      </w:r>
      <w:r>
        <w:rPr>
          <w:rtl w:val="true"/>
        </w:rPr>
        <w:t xml:space="preserve">, </w:t>
      </w:r>
      <w:r>
        <w:rPr>
          <w:rtl w:val="true"/>
        </w:rPr>
        <w:t>כפי שהוסבר לעיל</w:t>
      </w:r>
      <w:r>
        <w:rPr>
          <w:rtl w:val="true"/>
        </w:rPr>
        <w:t xml:space="preserve">, </w:t>
      </w:r>
      <w:r>
        <w:rPr>
          <w:rtl w:val="true"/>
        </w:rPr>
        <w:t>מדובר בקשירת קשר לביצוע מעשים שחומרתם פחותה מענייננו</w:t>
      </w:r>
      <w:r>
        <w:rPr>
          <w:rtl w:val="true"/>
        </w:rPr>
        <w:t xml:space="preserve">. </w:t>
      </w:r>
    </w:p>
    <w:p>
      <w:pPr>
        <w:pStyle w:val="Normal"/>
        <w:ind w:start="567" w:end="0"/>
        <w:jc w:val="both"/>
        <w:rPr/>
      </w:pPr>
      <w:r>
        <w:rPr>
          <w:rtl w:val="true"/>
        </w:rPr>
      </w:r>
    </w:p>
    <w:p>
      <w:pPr>
        <w:pStyle w:val="Style11"/>
        <w:numPr>
          <w:ilvl w:val="0"/>
          <w:numId w:val="2"/>
        </w:numPr>
        <w:bidi w:val="1"/>
        <w:ind w:hanging="567" w:start="567" w:end="0"/>
        <w:jc w:val="both"/>
        <w:rPr/>
      </w:pPr>
      <w:r>
        <w:rPr>
          <w:rtl w:val="true"/>
        </w:rPr>
        <w:t>לצורך קביעת מתחם העונש ההולם</w:t>
      </w:r>
      <w:r>
        <w:rPr>
          <w:rtl w:val="true"/>
        </w:rPr>
        <w:t xml:space="preserve">, </w:t>
      </w:r>
      <w:r>
        <w:rPr>
          <w:rtl w:val="true"/>
        </w:rPr>
        <w:t>נעזרתי בפסקי</w:t>
      </w:r>
      <w:r>
        <w:rPr>
          <w:rtl w:val="true"/>
        </w:rPr>
        <w:t>-</w:t>
      </w:r>
      <w:r>
        <w:rPr>
          <w:rtl w:val="true"/>
        </w:rPr>
        <w:t>הדין הבאים</w:t>
      </w:r>
      <w:r>
        <w:rPr>
          <w:rtl w:val="true"/>
        </w:rPr>
        <w:t xml:space="preserve">, </w:t>
      </w:r>
      <w:r>
        <w:rPr>
          <w:rtl w:val="true"/>
        </w:rPr>
        <w:t>תוך התחשבות בשוני בינם לבין המקרה שלפניי</w:t>
      </w:r>
      <w:r>
        <w:rPr>
          <w:rtl w:val="true"/>
        </w:rPr>
        <w:t>:</w:t>
      </w:r>
    </w:p>
    <w:p>
      <w:pPr>
        <w:pStyle w:val="Style11"/>
        <w:rPr/>
      </w:pPr>
      <w:r>
        <w:rPr/>
      </w:r>
    </w:p>
    <w:p>
      <w:pPr>
        <w:pStyle w:val="Style11"/>
        <w:numPr>
          <w:ilvl w:val="1"/>
          <w:numId w:val="2"/>
        </w:numPr>
        <w:bidi w:val="1"/>
        <w:ind w:hanging="360" w:start="1080" w:end="0"/>
        <w:jc w:val="both"/>
        <w:rPr/>
      </w:pPr>
      <w:hyperlink r:id="rId18">
        <w:r>
          <w:rPr>
            <w:rStyle w:val="Hyperlink"/>
            <w:color w:val="0000FF"/>
            <w:u w:val="single"/>
            <w:rtl w:val="true"/>
          </w:rPr>
          <w:t>עפ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ג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מחוזי י</w:t>
        </w:r>
        <w:r>
          <w:rPr>
            <w:rStyle w:val="Hyperlink"/>
            <w:color w:val="0000FF"/>
            <w:u w:val="single"/>
            <w:rtl w:val="true"/>
          </w:rPr>
          <w:t>-</w:t>
        </w:r>
        <w:r>
          <w:rPr>
            <w:rStyle w:val="Hyperlink"/>
            <w:color w:val="0000FF"/>
            <w:u w:val="single"/>
            <w:rtl w:val="true"/>
          </w:rPr>
          <w:t>ם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16118-07-11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סלאיימה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 ישראל</w:t>
      </w:r>
      <w:r>
        <w:rPr>
          <w:rtl w:val="true"/>
        </w:rPr>
        <w:t xml:space="preserve"> </w:t>
      </w:r>
      <w:r>
        <w:rPr>
          <w:rFonts w:cs="Times New Roman" w:ascii="Times New Roman" w:hAnsi="Times New Roman"/>
          <w:sz w:val="22"/>
          <w:rtl w:val="true"/>
        </w:rPr>
        <w:t>[</w:t>
      </w:r>
      <w:r>
        <w:rPr>
          <w:rFonts w:ascii="Times New Roman" w:hAnsi="Times New Roman" w:cs="Times New Roman"/>
          <w:sz w:val="22"/>
          <w:sz w:val="22"/>
          <w:rtl w:val="true"/>
        </w:rPr>
        <w:t>פורסם בנבו</w:t>
      </w:r>
      <w:r>
        <w:rPr>
          <w:rFonts w:cs="Times New Roman" w:ascii="Times New Roman" w:hAnsi="Times New Roman"/>
          <w:sz w:val="22"/>
          <w:rtl w:val="true"/>
        </w:rPr>
        <w:t xml:space="preserve">] </w:t>
      </w:r>
      <w:r>
        <w:rPr>
          <w:rtl w:val="true"/>
        </w:rPr>
        <w:t>(</w:t>
      </w:r>
      <w:r>
        <w:rPr/>
        <w:t>13.12.2011</w:t>
      </w:r>
      <w:r>
        <w:rPr>
          <w:rtl w:val="true"/>
        </w:rPr>
        <w:t xml:space="preserve">), </w:t>
      </w:r>
      <w:r>
        <w:rPr>
          <w:rtl w:val="true"/>
        </w:rPr>
        <w:t>אליו הפנתה ההגנה</w:t>
      </w:r>
      <w:r>
        <w:rPr>
          <w:rtl w:val="true"/>
        </w:rPr>
        <w:t xml:space="preserve">, </w:t>
      </w:r>
      <w:r>
        <w:rPr>
          <w:rtl w:val="true"/>
        </w:rPr>
        <w:t>שעניינו קשירת קשר של שלושה נאשמים לזריקת רימון לעבר עמדת צה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>וכן עבירת ניסיון לרכישת נשק</w:t>
      </w:r>
      <w:r>
        <w:rPr>
          <w:rtl w:val="true"/>
        </w:rPr>
        <w:t xml:space="preserve">. </w:t>
      </w:r>
      <w:r>
        <w:rPr>
          <w:rtl w:val="true"/>
        </w:rPr>
        <w:t>במסגרת הערעור הופחת עונשו של אחד הנאשמים ל</w:t>
      </w:r>
      <w:r>
        <w:rPr>
          <w:rtl w:val="true"/>
        </w:rPr>
        <w:t>-</w:t>
      </w:r>
      <w:r>
        <w:rPr>
          <w:b/>
          <w:bCs/>
        </w:rPr>
        <w:t>22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 מאסר בפועל</w:t>
      </w:r>
      <w:r>
        <w:rPr>
          <w:rtl w:val="true"/>
        </w:rPr>
        <w:t xml:space="preserve">. </w:t>
      </w:r>
      <w:r>
        <w:rPr>
          <w:rtl w:val="true"/>
        </w:rPr>
        <w:t>לטענת ההגנה</w:t>
      </w:r>
      <w:r>
        <w:rPr>
          <w:rtl w:val="true"/>
        </w:rPr>
        <w:t xml:space="preserve">, </w:t>
      </w:r>
      <w:r>
        <w:rPr>
          <w:rtl w:val="true"/>
        </w:rPr>
        <w:t>נסיבות מעשיו של אותו נאשם חמורות יותר מעניינו</w:t>
      </w:r>
      <w:r>
        <w:rPr>
          <w:rtl w:val="true"/>
        </w:rPr>
        <w:t xml:space="preserve">, </w:t>
      </w:r>
      <w:r>
        <w:rPr>
          <w:rtl w:val="true"/>
        </w:rPr>
        <w:t>שכן מלבד הצטרפותו לקשר</w:t>
      </w:r>
      <w:r>
        <w:rPr>
          <w:rtl w:val="true"/>
        </w:rPr>
        <w:t xml:space="preserve">, </w:t>
      </w:r>
      <w:r>
        <w:rPr>
          <w:rtl w:val="true"/>
        </w:rPr>
        <w:t>הוא ביצע בעצמו ניסיונות לרכישת הרימון לצורך ביצוע הפיגוע</w:t>
      </w:r>
      <w:r>
        <w:rPr>
          <w:rtl w:val="true"/>
        </w:rPr>
        <w:t xml:space="preserve">. </w:t>
      </w:r>
      <w:r>
        <w:rPr>
          <w:rtl w:val="true"/>
        </w:rPr>
        <w:t>ואולם</w:t>
      </w:r>
      <w:r>
        <w:rPr>
          <w:rtl w:val="true"/>
        </w:rPr>
        <w:t xml:space="preserve">, </w:t>
      </w:r>
      <w:r>
        <w:rPr>
          <w:rtl w:val="true"/>
        </w:rPr>
        <w:t>עיון בנימוקי הערעור מעלה כי בשונה מענייננו</w:t>
      </w:r>
      <w:r>
        <w:rPr>
          <w:rtl w:val="true"/>
        </w:rPr>
        <w:t xml:space="preserve">, </w:t>
      </w:r>
      <w:r>
        <w:rPr>
          <w:rtl w:val="true"/>
        </w:rPr>
        <w:t>שם דובר על נאשמים שלקחו אחריות מלאה למעשיהם</w:t>
      </w:r>
      <w:r>
        <w:rPr>
          <w:rtl w:val="true"/>
        </w:rPr>
        <w:t xml:space="preserve">, </w:t>
      </w:r>
      <w:r>
        <w:rPr>
          <w:rtl w:val="true"/>
        </w:rPr>
        <w:t>ובעיקר כי קודם למעצרם קיבלו החלטה להפסיק את ניסיונות רכישת הרימונים</w:t>
      </w:r>
      <w:r>
        <w:rPr>
          <w:rtl w:val="true"/>
        </w:rPr>
        <w:t>.</w:t>
      </w:r>
    </w:p>
    <w:p>
      <w:pPr>
        <w:pStyle w:val="Style11"/>
        <w:bidi w:val="1"/>
        <w:ind w:start="1080" w:end="0"/>
        <w:jc w:val="both"/>
        <w:rPr/>
      </w:pPr>
      <w:r>
        <w:rPr>
          <w:rtl w:val="true"/>
        </w:rPr>
      </w:r>
    </w:p>
    <w:p>
      <w:pPr>
        <w:pStyle w:val="Style11"/>
        <w:numPr>
          <w:ilvl w:val="1"/>
          <w:numId w:val="2"/>
        </w:numPr>
        <w:bidi w:val="1"/>
        <w:ind w:hanging="360" w:start="1080" w:end="0"/>
        <w:jc w:val="both"/>
        <w:rPr/>
      </w:pPr>
      <w:hyperlink r:id="rId1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6635/07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 ישראל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פלוני</w:t>
      </w:r>
      <w:r>
        <w:rPr>
          <w:rtl w:val="true"/>
        </w:rPr>
        <w:t xml:space="preserve"> </w:t>
      </w:r>
      <w:r>
        <w:rPr>
          <w:rFonts w:cs="Times New Roman" w:ascii="Times New Roman" w:hAnsi="Times New Roman"/>
          <w:sz w:val="22"/>
          <w:rtl w:val="true"/>
        </w:rPr>
        <w:t>[</w:t>
      </w:r>
      <w:r>
        <w:rPr>
          <w:rFonts w:ascii="Times New Roman" w:hAnsi="Times New Roman" w:cs="Times New Roman"/>
          <w:sz w:val="22"/>
          <w:sz w:val="22"/>
          <w:rtl w:val="true"/>
        </w:rPr>
        <w:t>פורסם בנבו</w:t>
      </w:r>
      <w:r>
        <w:rPr>
          <w:rFonts w:cs="Times New Roman" w:ascii="Times New Roman" w:hAnsi="Times New Roman"/>
          <w:sz w:val="22"/>
          <w:rtl w:val="true"/>
        </w:rPr>
        <w:t xml:space="preserve">] </w:t>
      </w:r>
      <w:r>
        <w:rPr>
          <w:rtl w:val="true"/>
        </w:rPr>
        <w:t>(</w:t>
      </w:r>
      <w:r>
        <w:rPr/>
        <w:t>29.10.2007</w:t>
      </w:r>
      <w:r>
        <w:rPr>
          <w:rtl w:val="true"/>
        </w:rPr>
        <w:t xml:space="preserve">)- </w:t>
      </w:r>
      <w:r>
        <w:rPr>
          <w:rtl w:val="true"/>
        </w:rPr>
        <w:t>במסגרת האישום הראשון</w:t>
      </w:r>
      <w:r>
        <w:rPr>
          <w:rtl w:val="true"/>
        </w:rPr>
        <w:t xml:space="preserve">, </w:t>
      </w:r>
      <w:r>
        <w:rPr>
          <w:rtl w:val="true"/>
        </w:rPr>
        <w:t>הציע מפקד ארגון הטרור וועדות ההתנגדות העממית למשיב לנסוע לגדה המערבית ולסייע בהקמת חוליות של הארגון</w:t>
      </w:r>
      <w:r>
        <w:rPr>
          <w:rtl w:val="true"/>
        </w:rPr>
        <w:t xml:space="preserve">. </w:t>
      </w:r>
      <w:r>
        <w:rPr>
          <w:rtl w:val="true"/>
        </w:rPr>
        <w:t>המשיב הסכים להצעה זו</w:t>
      </w:r>
      <w:r>
        <w:rPr>
          <w:rtl w:val="true"/>
        </w:rPr>
        <w:t xml:space="preserve">, </w:t>
      </w:r>
      <w:r>
        <w:rPr>
          <w:rtl w:val="true"/>
        </w:rPr>
        <w:t>אך התכנון לא יצא אל הפועל בשל מותו של מפקד הארגון בהיתקלות עם כוחות צה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במסגרת האישום השני</w:t>
      </w:r>
      <w:r>
        <w:rPr>
          <w:rtl w:val="true"/>
        </w:rPr>
        <w:t xml:space="preserve">, </w:t>
      </w:r>
      <w:r>
        <w:rPr>
          <w:rtl w:val="true"/>
        </w:rPr>
        <w:t>נפגש המשיב עם פעילי ארגון הטרור</w:t>
      </w:r>
      <w:r>
        <w:rPr>
          <w:rtl w:val="true"/>
        </w:rPr>
        <w:t xml:space="preserve">, </w:t>
      </w:r>
      <w:r>
        <w:rPr>
          <w:rtl w:val="true"/>
        </w:rPr>
        <w:t>אשר ביקשו לציידו במפתח לכתב צופן באמצעותו יוכלו פעילי הגדה ליצור קשר עם פעילים ברצועת עזה</w:t>
      </w:r>
      <w:r>
        <w:rPr>
          <w:rtl w:val="true"/>
        </w:rPr>
        <w:t xml:space="preserve">. </w:t>
      </w:r>
      <w:r>
        <w:rPr>
          <w:rtl w:val="true"/>
        </w:rPr>
        <w:t>בסופו של דבר הוחלט כי הצופן יישלח בדרך אחרת</w:t>
      </w:r>
      <w:r>
        <w:rPr>
          <w:rtl w:val="true"/>
        </w:rPr>
        <w:t xml:space="preserve">. </w:t>
      </w:r>
      <w:r>
        <w:rPr>
          <w:rtl w:val="true"/>
        </w:rPr>
        <w:t>המשיב הורשע בעבירות של קשירת קשר לביצוע פשע וניסיון למתן שירות להתאחדות בלתי חוקית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tl w:val="true"/>
        </w:rPr>
        <w:t>-</w:t>
      </w:r>
      <w:r>
        <w:rPr>
          <w:rtl w:val="true"/>
        </w:rPr>
        <w:t xml:space="preserve">המשפט המחוזי גזר עליו </w:t>
      </w:r>
      <w:r>
        <w:rPr>
          <w:b/>
          <w:bCs/>
        </w:rPr>
        <w:t>15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 מאסר בפועל</w:t>
      </w:r>
      <w:r>
        <w:rPr>
          <w:b/>
          <w:bCs/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ערעור המדינה על קולת העונש נדחה בדעת רוב</w:t>
      </w:r>
      <w:r>
        <w:rPr>
          <w:rtl w:val="true"/>
        </w:rPr>
        <w:t xml:space="preserve">, </w:t>
      </w:r>
      <w:r>
        <w:rPr>
          <w:rtl w:val="true"/>
        </w:rPr>
        <w:t xml:space="preserve">אך נקבע כי </w:t>
      </w:r>
      <w:r>
        <w:rPr>
          <w:b/>
          <w:b/>
          <w:bCs/>
          <w:rtl w:val="true"/>
        </w:rPr>
        <w:t>מדובר בעונש החורג ממדיניות הענישה הנהוגה</w:t>
      </w:r>
      <w:r>
        <w:rPr>
          <w:rtl w:val="true"/>
        </w:rPr>
        <w:t xml:space="preserve">, </w:t>
      </w:r>
      <w:r>
        <w:rPr>
          <w:rtl w:val="true"/>
        </w:rPr>
        <w:t>ואשר ניתן אך בשל נסיבותיו האישיות המקלות ומצבו הבריאותי הקשה של המשיב</w:t>
      </w:r>
      <w:r>
        <w:rPr>
          <w:rtl w:val="true"/>
        </w:rPr>
        <w:t xml:space="preserve">, </w:t>
      </w:r>
      <w:r>
        <w:rPr>
          <w:rtl w:val="true"/>
        </w:rPr>
        <w:t>נסיבות שברי כי אינן מתקיימות בענייננו</w:t>
      </w:r>
      <w:r>
        <w:rPr>
          <w:rtl w:val="true"/>
        </w:rPr>
        <w:t>.</w:t>
      </w:r>
    </w:p>
    <w:p>
      <w:pPr>
        <w:pStyle w:val="Style11"/>
        <w:rPr/>
      </w:pPr>
      <w:r>
        <w:rPr/>
      </w:r>
    </w:p>
    <w:p>
      <w:pPr>
        <w:pStyle w:val="Style11"/>
        <w:numPr>
          <w:ilvl w:val="1"/>
          <w:numId w:val="2"/>
        </w:numPr>
        <w:bidi w:val="1"/>
        <w:ind w:hanging="360" w:start="1080" w:end="0"/>
        <w:jc w:val="both"/>
        <w:rPr/>
      </w:pPr>
      <w:hyperlink r:id="rId2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1272/13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אכתילאת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 xml:space="preserve">מדינת ישראל </w:t>
      </w:r>
      <w:r>
        <w:rPr>
          <w:rFonts w:cs="Times New Roman" w:ascii="Times New Roman" w:hAnsi="Times New Roman"/>
          <w:sz w:val="22"/>
          <w:rtl w:val="true"/>
        </w:rPr>
        <w:t>[</w:t>
      </w:r>
      <w:r>
        <w:rPr>
          <w:rFonts w:ascii="Times New Roman" w:hAnsi="Times New Roman" w:cs="Times New Roman"/>
          <w:sz w:val="22"/>
          <w:sz w:val="22"/>
          <w:rtl w:val="true"/>
        </w:rPr>
        <w:t>פורסם בנבו</w:t>
      </w:r>
      <w:r>
        <w:rPr>
          <w:rFonts w:cs="Times New Roman" w:ascii="Times New Roman" w:hAnsi="Times New Roman"/>
          <w:sz w:val="22"/>
          <w:rtl w:val="true"/>
        </w:rPr>
        <w:t xml:space="preserve">] </w:t>
      </w:r>
      <w:r>
        <w:rPr>
          <w:rtl w:val="true"/>
        </w:rPr>
        <w:t>(</w:t>
      </w:r>
      <w:r>
        <w:rPr/>
        <w:t>11.11.2013</w:t>
      </w:r>
      <w:r>
        <w:rPr>
          <w:rtl w:val="true"/>
        </w:rPr>
        <w:t xml:space="preserve">)- </w:t>
      </w:r>
      <w:r>
        <w:rPr>
          <w:rtl w:val="true"/>
        </w:rPr>
        <w:t>המערערים הורשעו בעבירות של קשירת קשר לפשע</w:t>
      </w:r>
      <w:r>
        <w:rPr>
          <w:rtl w:val="true"/>
        </w:rPr>
        <w:t xml:space="preserve">. </w:t>
      </w:r>
      <w:r>
        <w:rPr>
          <w:rtl w:val="true"/>
        </w:rPr>
        <w:t xml:space="preserve">המערער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הורשע בנוסף בעבירה של ניסיון לביצוע עבירות בנשק</w:t>
      </w:r>
      <w:r>
        <w:rPr>
          <w:rtl w:val="true"/>
        </w:rPr>
        <w:t xml:space="preserve">, </w:t>
      </w:r>
      <w:r>
        <w:rPr>
          <w:rtl w:val="true"/>
        </w:rPr>
        <w:t>אך זוכה מעבירה זו במסגרת ערעורו</w:t>
      </w:r>
      <w:r>
        <w:rPr>
          <w:rtl w:val="true"/>
        </w:rPr>
        <w:t xml:space="preserve">. </w:t>
      </w:r>
      <w:r>
        <w:rPr>
          <w:rtl w:val="true"/>
        </w:rPr>
        <w:t xml:space="preserve">המערער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תכנן להכין מטעני חבלה לשימוש נגד יהודים בתחומי מדינת ישראל</w:t>
      </w:r>
      <w:r>
        <w:rPr>
          <w:rtl w:val="true"/>
        </w:rPr>
        <w:t xml:space="preserve">. </w:t>
      </w:r>
      <w:r>
        <w:rPr>
          <w:rtl w:val="true"/>
        </w:rPr>
        <w:t>לצורך כך הוריד מידע מהאינטרנט לגבי האופן בו ניתן לייצר מטעני חבלה</w:t>
      </w:r>
      <w:r>
        <w:rPr>
          <w:rtl w:val="true"/>
        </w:rPr>
        <w:t xml:space="preserve">, </w:t>
      </w:r>
      <w:r>
        <w:rPr>
          <w:rtl w:val="true"/>
        </w:rPr>
        <w:t>ואף ניסה להכין מטען מאולתר ללא הצלחה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 xml:space="preserve">פעל המערער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בניסיון להשיג נשק</w:t>
      </w:r>
      <w:r>
        <w:rPr>
          <w:rtl w:val="true"/>
        </w:rPr>
        <w:t xml:space="preserve">, </w:t>
      </w:r>
      <w:r>
        <w:rPr>
          <w:rtl w:val="true"/>
        </w:rPr>
        <w:t>ואף נפגש עם סטודנטים בירדן ושוחח עימם על הצורך לבצע פיגועים בישראל</w:t>
      </w:r>
      <w:r>
        <w:rPr>
          <w:rtl w:val="true"/>
        </w:rPr>
        <w:t xml:space="preserve">. </w:t>
      </w:r>
      <w:r>
        <w:rPr>
          <w:rtl w:val="true"/>
        </w:rPr>
        <w:t>במהלך מבצע עופרת יצוקה נפגשו שני המערערים</w:t>
      </w:r>
      <w:r>
        <w:rPr>
          <w:rtl w:val="true"/>
        </w:rPr>
        <w:t xml:space="preserve">, </w:t>
      </w:r>
      <w:r>
        <w:rPr>
          <w:rtl w:val="true"/>
        </w:rPr>
        <w:t xml:space="preserve">והמערער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 xml:space="preserve">הציע למערער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לפעול נגד יהודים</w:t>
      </w:r>
      <w:r>
        <w:rPr>
          <w:rtl w:val="true"/>
        </w:rPr>
        <w:t xml:space="preserve">, </w:t>
      </w:r>
      <w:r>
        <w:rPr>
          <w:rtl w:val="true"/>
        </w:rPr>
        <w:t>וציין כי ניתן להשיג נשק מחיילים המשרתים בצה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 xml:space="preserve">המערער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הביע הסכמתו להצעה</w:t>
      </w:r>
      <w:r>
        <w:rPr>
          <w:rtl w:val="true"/>
        </w:rPr>
        <w:t xml:space="preserve">. </w:t>
      </w:r>
      <w:r>
        <w:rPr>
          <w:rtl w:val="true"/>
        </w:rPr>
        <w:t>בפגישה נוספת שנערכה מאוחר יותר</w:t>
      </w:r>
      <w:r>
        <w:rPr>
          <w:rtl w:val="true"/>
        </w:rPr>
        <w:t xml:space="preserve">, </w:t>
      </w:r>
      <w:r>
        <w:rPr>
          <w:rtl w:val="true"/>
        </w:rPr>
        <w:t xml:space="preserve">הביע המערער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בשנית כי הוא נכון לבצע פיגועים נגד יהודים</w:t>
      </w:r>
      <w:r>
        <w:rPr>
          <w:rtl w:val="true"/>
        </w:rPr>
        <w:t xml:space="preserve">. </w:t>
      </w:r>
      <w:r>
        <w:rPr>
          <w:rtl w:val="true"/>
        </w:rPr>
        <w:t>כיוון שלא היה ברשות המערערים נשק</w:t>
      </w:r>
      <w:r>
        <w:rPr>
          <w:rtl w:val="true"/>
        </w:rPr>
        <w:t xml:space="preserve">, </w:t>
      </w:r>
      <w:r>
        <w:rPr>
          <w:rtl w:val="true"/>
        </w:rPr>
        <w:t xml:space="preserve">תוכנן כי השניים יתקפו את בני דודיו של המערער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המשרתים בצה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>על מנת לקחת את נשקם</w:t>
      </w:r>
      <w:r>
        <w:rPr>
          <w:rtl w:val="true"/>
        </w:rPr>
        <w:t xml:space="preserve">. </w:t>
      </w:r>
      <w:r>
        <w:rPr>
          <w:rtl w:val="true"/>
        </w:rPr>
        <w:t>ערעורם של המערערים על חומרת עונשם התקבל חלקית</w:t>
      </w:r>
      <w:r>
        <w:rPr>
          <w:rtl w:val="true"/>
        </w:rPr>
        <w:t xml:space="preserve">. </w:t>
      </w:r>
      <w:r>
        <w:rPr>
          <w:b/>
          <w:b/>
          <w:bCs/>
          <w:rtl w:val="true"/>
        </w:rPr>
        <w:t xml:space="preserve">עונשו של המערער </w:t>
      </w:r>
      <w:r>
        <w:rPr>
          <w:b/>
          <w:bCs/>
        </w:rPr>
        <w:t>1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 xml:space="preserve">הועמד על </w:t>
      </w:r>
      <w:r>
        <w:rPr>
          <w:b/>
          <w:bCs/>
        </w:rPr>
        <w:t>4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שנות מאסר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 xml:space="preserve">ואילו עונשו של המערער </w:t>
      </w:r>
      <w:r>
        <w:rPr>
          <w:b/>
          <w:bCs/>
        </w:rPr>
        <w:t>2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הועמד על שנת מאסר</w:t>
      </w:r>
      <w:r>
        <w:rPr>
          <w:rtl w:val="true"/>
        </w:rPr>
        <w:t xml:space="preserve">. </w:t>
      </w:r>
      <w:r>
        <w:rPr>
          <w:rtl w:val="true"/>
        </w:rPr>
        <w:t xml:space="preserve">כמו כן נותר על כנו קנס בסך </w:t>
      </w:r>
      <w:r>
        <w:rPr/>
        <w:t>20,000</w:t>
      </w:r>
      <w:r>
        <w:rPr>
          <w:rtl w:val="true"/>
        </w:rPr>
        <w:t xml:space="preserve"> ₪ </w:t>
      </w:r>
      <w:r>
        <w:rPr>
          <w:rtl w:val="true"/>
        </w:rPr>
        <w:t>שנגזר על כל אחד מהמערערים</w:t>
      </w:r>
      <w:r>
        <w:rPr>
          <w:rtl w:val="true"/>
        </w:rPr>
        <w:t>.</w:t>
      </w:r>
    </w:p>
    <w:p>
      <w:pPr>
        <w:pStyle w:val="Style11"/>
        <w:rPr/>
      </w:pPr>
      <w:r>
        <w:rPr/>
      </w:r>
    </w:p>
    <w:p>
      <w:pPr>
        <w:pStyle w:val="Style11"/>
        <w:numPr>
          <w:ilvl w:val="1"/>
          <w:numId w:val="2"/>
        </w:numPr>
        <w:bidi w:val="1"/>
        <w:ind w:hanging="360" w:start="1080" w:end="0"/>
        <w:jc w:val="both"/>
        <w:rPr/>
      </w:pPr>
      <w:hyperlink r:id="rId2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1898/10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אבו סנינה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 ישראל</w:t>
      </w:r>
      <w:r>
        <w:rPr>
          <w:rtl w:val="true"/>
        </w:rPr>
        <w:t xml:space="preserve"> </w:t>
      </w:r>
      <w:r>
        <w:rPr>
          <w:rFonts w:cs="Times New Roman" w:ascii="Times New Roman" w:hAnsi="Times New Roman"/>
          <w:sz w:val="22"/>
          <w:rtl w:val="true"/>
        </w:rPr>
        <w:t>[</w:t>
      </w:r>
      <w:r>
        <w:rPr>
          <w:rFonts w:ascii="Times New Roman" w:hAnsi="Times New Roman" w:cs="Times New Roman"/>
          <w:sz w:val="22"/>
          <w:sz w:val="22"/>
          <w:rtl w:val="true"/>
        </w:rPr>
        <w:t>פורסם בנבו</w:t>
      </w:r>
      <w:r>
        <w:rPr>
          <w:rFonts w:cs="Times New Roman" w:ascii="Times New Roman" w:hAnsi="Times New Roman"/>
          <w:sz w:val="22"/>
          <w:rtl w:val="true"/>
        </w:rPr>
        <w:t xml:space="preserve">] </w:t>
      </w:r>
      <w:r>
        <w:rPr>
          <w:rtl w:val="true"/>
        </w:rPr>
        <w:t>(</w:t>
      </w:r>
      <w:r>
        <w:rPr/>
        <w:t>26.7.2010</w:t>
      </w:r>
      <w:r>
        <w:rPr>
          <w:rtl w:val="true"/>
        </w:rPr>
        <w:t xml:space="preserve">)- </w:t>
      </w:r>
      <w:r>
        <w:rPr>
          <w:rtl w:val="true"/>
        </w:rPr>
        <w:t>המערער השתתף בפגישה יחד עם אחרים</w:t>
      </w:r>
      <w:r>
        <w:rPr>
          <w:rtl w:val="true"/>
        </w:rPr>
        <w:t xml:space="preserve">, </w:t>
      </w:r>
      <w:r>
        <w:rPr>
          <w:rtl w:val="true"/>
        </w:rPr>
        <w:t>שם הוצע לו להקים חוליה אשר תבצע פיגועים נגד שוטרים ישראלים המוצבים במחסומים</w:t>
      </w:r>
      <w:r>
        <w:rPr>
          <w:rtl w:val="true"/>
        </w:rPr>
        <w:t xml:space="preserve">. </w:t>
      </w:r>
      <w:r>
        <w:rPr>
          <w:rtl w:val="true"/>
        </w:rPr>
        <w:t xml:space="preserve">המערער נתן הסכמתו </w:t>
      </w:r>
      <w:r>
        <w:rPr>
          <w:u w:val="single"/>
          <w:rtl w:val="true"/>
        </w:rPr>
        <w:t>בעקבות לחץ רב שהופעל עליו</w:t>
      </w:r>
      <w:r>
        <w:rPr>
          <w:rtl w:val="true"/>
        </w:rPr>
        <w:t xml:space="preserve">, </w:t>
      </w:r>
      <w:r>
        <w:rPr>
          <w:rtl w:val="true"/>
        </w:rPr>
        <w:t>והיה אמור להשתתף בפיגוע מסוג זה</w:t>
      </w:r>
      <w:r>
        <w:rPr>
          <w:rtl w:val="true"/>
        </w:rPr>
        <w:t xml:space="preserve">, </w:t>
      </w:r>
      <w:r>
        <w:rPr>
          <w:rtl w:val="true"/>
        </w:rPr>
        <w:t>כאשר התפקיד שיועד לו היה לקיים תצפית בעוד אחר יורה לעבר השוטרים</w:t>
      </w:r>
      <w:r>
        <w:rPr>
          <w:rtl w:val="true"/>
        </w:rPr>
        <w:t xml:space="preserve">. </w:t>
      </w:r>
      <w:r>
        <w:rPr>
          <w:rtl w:val="true"/>
        </w:rPr>
        <w:t>בסופו של יום המערער לא השתתף באירוע מאחר ולא אותר על</w:t>
      </w:r>
      <w:r>
        <w:rPr>
          <w:rtl w:val="true"/>
        </w:rPr>
        <w:t>-</w:t>
      </w:r>
      <w:r>
        <w:rPr>
          <w:rtl w:val="true"/>
        </w:rPr>
        <w:t>ידי חברי החוליה</w:t>
      </w:r>
      <w:r>
        <w:rPr>
          <w:rtl w:val="true"/>
        </w:rPr>
        <w:t xml:space="preserve">. </w:t>
      </w:r>
      <w:r>
        <w:rPr>
          <w:rtl w:val="true"/>
        </w:rPr>
        <w:t>החוליה נעזרה באחר</w:t>
      </w:r>
      <w:r>
        <w:rPr>
          <w:rtl w:val="true"/>
        </w:rPr>
        <w:t xml:space="preserve">, </w:t>
      </w:r>
      <w:r>
        <w:rPr>
          <w:rtl w:val="true"/>
        </w:rPr>
        <w:t>ובאותו אירוע נרצח שוטר ושוטרת נפצעה</w:t>
      </w:r>
      <w:r>
        <w:rPr>
          <w:rtl w:val="true"/>
        </w:rPr>
        <w:t xml:space="preserve">. </w:t>
      </w:r>
      <w:r>
        <w:rPr>
          <w:rtl w:val="true"/>
        </w:rPr>
        <w:t xml:space="preserve">על המערער נגזרו </w:t>
      </w:r>
      <w:r>
        <w:rPr>
          <w:b/>
          <w:bCs/>
        </w:rPr>
        <w:t>15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 מאסר</w:t>
      </w:r>
      <w:r>
        <w:rPr>
          <w:rtl w:val="true"/>
        </w:rPr>
        <w:t xml:space="preserve">, </w:t>
      </w:r>
      <w:r>
        <w:rPr>
          <w:rtl w:val="true"/>
        </w:rPr>
        <w:t>וערעורו על חומרת העונש נדחה</w:t>
      </w:r>
      <w:r>
        <w:rPr>
          <w:rtl w:val="true"/>
        </w:rPr>
        <w:t>.</w:t>
      </w:r>
    </w:p>
    <w:p>
      <w:pPr>
        <w:pStyle w:val="Style11"/>
        <w:bidi w:val="1"/>
        <w:ind w:start="567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/>
        <w:ind w:hanging="567" w:start="567" w:end="0"/>
        <w:jc w:val="both"/>
        <w:rPr>
          <w:u w:val="single"/>
        </w:rPr>
      </w:pPr>
      <w:r>
        <w:rPr>
          <w:u w:val="single"/>
          <w:rtl w:val="true"/>
        </w:rPr>
        <w:t>לאחר בחינת השיקולים השונים שהובאו לעיל</w:t>
      </w:r>
      <w:r>
        <w:rPr>
          <w:u w:val="single"/>
          <w:rtl w:val="true"/>
        </w:rPr>
        <w:t xml:space="preserve">, </w:t>
      </w:r>
      <w:r>
        <w:rPr>
          <w:u w:val="single"/>
          <w:rtl w:val="true"/>
        </w:rPr>
        <w:t>אני קובעת כי מתחם העונש ההולם את העבירות בהן הורשע הנאשם</w:t>
      </w:r>
      <w:r>
        <w:rPr>
          <w:u w:val="single"/>
          <w:rtl w:val="true"/>
        </w:rPr>
        <w:t xml:space="preserve">, </w:t>
      </w:r>
      <w:r>
        <w:rPr>
          <w:b/>
          <w:b/>
          <w:bCs/>
          <w:u w:val="single"/>
          <w:rtl w:val="true"/>
        </w:rPr>
        <w:t xml:space="preserve">נע בין </w:t>
      </w:r>
      <w:r>
        <w:rPr>
          <w:b/>
          <w:bCs/>
          <w:u w:val="single"/>
        </w:rPr>
        <w:t>15</w:t>
      </w:r>
      <w:r>
        <w:rPr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</w:t>
      </w:r>
      <w:r>
        <w:rPr>
          <w:b/>
          <w:bCs/>
          <w:u w:val="single"/>
          <w:rtl w:val="true"/>
        </w:rPr>
        <w:t>-</w:t>
      </w:r>
      <w:r>
        <w:rPr>
          <w:b/>
          <w:bCs/>
          <w:u w:val="single"/>
        </w:rPr>
        <w:t>40</w:t>
      </w:r>
      <w:r>
        <w:rPr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חודשי מאסר בפועל</w:t>
      </w:r>
      <w:r>
        <w:rPr>
          <w:u w:val="single"/>
          <w:rtl w:val="true"/>
        </w:rPr>
        <w:t>.</w:t>
      </w:r>
    </w:p>
    <w:p>
      <w:pPr>
        <w:pStyle w:val="Style11"/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Style11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העונש הראוי לנאשם</w:t>
      </w:r>
    </w:p>
    <w:p>
      <w:pPr>
        <w:pStyle w:val="Style11"/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Style11"/>
        <w:numPr>
          <w:ilvl w:val="0"/>
          <w:numId w:val="2"/>
        </w:numPr>
        <w:bidi w:val="1"/>
        <w:spacing w:before="0" w:after="200"/>
        <w:ind w:hanging="567" w:start="567" w:end="0"/>
        <w:contextualSpacing/>
        <w:jc w:val="both"/>
        <w:rPr>
          <w:b/>
          <w:bCs/>
          <w:u w:val="single"/>
        </w:rPr>
      </w:pPr>
      <w:r>
        <w:rPr>
          <w:rtl w:val="true"/>
        </w:rPr>
        <w:t>אשר לנסיבות שאינן קשורות לביצוע העבירה</w:t>
      </w:r>
      <w:r>
        <w:rPr>
          <w:rtl w:val="true"/>
        </w:rPr>
        <w:t xml:space="preserve">, </w:t>
      </w:r>
      <w:r>
        <w:rPr>
          <w:rtl w:val="true"/>
        </w:rPr>
        <w:t>שקלתי לקולא את גילו הצעיר של הנאשם ואת נסיבותיו המשפחתיות המתוארות בתסקיר</w:t>
      </w:r>
      <w:r>
        <w:rPr>
          <w:rtl w:val="true"/>
        </w:rPr>
        <w:t>.</w:t>
      </w:r>
    </w:p>
    <w:p>
      <w:pPr>
        <w:pStyle w:val="Style11"/>
        <w:bidi w:val="1"/>
        <w:spacing w:before="0" w:after="200"/>
        <w:ind w:start="567" w:end="0"/>
        <w:contextualSpacing/>
        <w:jc w:val="both"/>
        <w:rPr>
          <w:b/>
          <w:bCs/>
          <w:u w:val="single"/>
        </w:rPr>
      </w:pPr>
      <w:r>
        <w:rPr>
          <w:rtl w:val="true"/>
        </w:rPr>
        <w:t>שקלתי לחומרא את יחסו של הנאשם לעבירות אותן ביצע ובהן הודה</w:t>
      </w:r>
      <w:r>
        <w:rPr>
          <w:rtl w:val="true"/>
        </w:rPr>
        <w:t xml:space="preserve">. </w:t>
      </w:r>
      <w:r>
        <w:rPr>
          <w:rtl w:val="true"/>
        </w:rPr>
        <w:t>דבריו של הנאשם בפני שירות המבחן</w:t>
      </w:r>
      <w:r>
        <w:rPr>
          <w:rtl w:val="true"/>
        </w:rPr>
        <w:t xml:space="preserve">, </w:t>
      </w:r>
      <w:r>
        <w:rPr>
          <w:rtl w:val="true"/>
        </w:rPr>
        <w:t>העדר שיתוף הפעולה עם הגורמים המטפלים</w:t>
      </w:r>
      <w:r>
        <w:rPr>
          <w:rtl w:val="true"/>
        </w:rPr>
        <w:t xml:space="preserve">, </w:t>
      </w:r>
      <w:r>
        <w:rPr>
          <w:rtl w:val="true"/>
        </w:rPr>
        <w:t>והתבטאותו במסגרת הטיעונים לעונש לפיה לא היה במעשים כדי לפגוע בביטחון המדינה</w:t>
      </w:r>
      <w:r>
        <w:rPr>
          <w:rtl w:val="true"/>
        </w:rPr>
        <w:t xml:space="preserve">, </w:t>
      </w:r>
      <w:r>
        <w:rPr>
          <w:rtl w:val="true"/>
        </w:rPr>
        <w:t>מצביעים על חוסר הפנמה של חומרת המעשים</w:t>
      </w:r>
      <w:r>
        <w:rPr>
          <w:rtl w:val="true"/>
        </w:rPr>
        <w:t>.</w:t>
      </w:r>
    </w:p>
    <w:p>
      <w:pPr>
        <w:pStyle w:val="Style11"/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Style11"/>
        <w:numPr>
          <w:ilvl w:val="0"/>
          <w:numId w:val="2"/>
        </w:numPr>
        <w:bidi w:val="1"/>
        <w:spacing w:before="0" w:after="200"/>
        <w:ind w:hanging="567" w:start="567" w:end="0"/>
        <w:contextualSpacing/>
        <w:jc w:val="both"/>
        <w:rPr>
          <w:b/>
          <w:bCs/>
          <w:u w:val="single"/>
        </w:rPr>
      </w:pPr>
      <w:r>
        <w:rPr>
          <w:rtl w:val="true"/>
        </w:rPr>
        <w:t xml:space="preserve">גיליון הרישום הפלילי של הנאשם </w:t>
      </w:r>
      <w:r>
        <w:rPr>
          <w:rtl w:val="true"/>
        </w:rPr>
        <w:t>(</w:t>
      </w:r>
      <w:r>
        <w:rPr>
          <w:rtl w:val="true"/>
        </w:rPr>
        <w:t>ע</w:t>
      </w:r>
      <w:r>
        <w:rPr>
          <w:rtl w:val="true"/>
        </w:rPr>
        <w:t>/</w:t>
      </w:r>
      <w:r>
        <w:rPr/>
        <w:t>1</w:t>
      </w:r>
      <w:r>
        <w:rPr>
          <w:rtl w:val="true"/>
        </w:rPr>
        <w:t xml:space="preserve">) </w:t>
      </w:r>
      <w:r>
        <w:rPr>
          <w:rtl w:val="true"/>
        </w:rPr>
        <w:t>מעלה כי בעברו הרשעה בעבירות של תקיפה סתם והתנהגות פרועה במקום ציבורי</w:t>
      </w:r>
      <w:r>
        <w:rPr>
          <w:rtl w:val="true"/>
        </w:rPr>
        <w:t xml:space="preserve">, </w:t>
      </w:r>
      <w:r>
        <w:rPr>
          <w:rtl w:val="true"/>
        </w:rPr>
        <w:t xml:space="preserve">זאת בגין מעשים שביצע בשנת </w:t>
      </w:r>
      <w:r>
        <w:rPr/>
        <w:t>2012</w:t>
      </w:r>
      <w:r>
        <w:rPr>
          <w:rtl w:val="true"/>
        </w:rPr>
        <w:t xml:space="preserve">, </w:t>
      </w:r>
      <w:r>
        <w:rPr>
          <w:rtl w:val="true"/>
        </w:rPr>
        <w:t>עת הכה במכת אגרוף פועל תחזוקה ערבי במחסום</w:t>
      </w:r>
      <w:r>
        <w:rPr>
          <w:rtl w:val="true"/>
        </w:rPr>
        <w:t xml:space="preserve">, </w:t>
      </w:r>
      <w:r>
        <w:rPr>
          <w:rtl w:val="true"/>
        </w:rPr>
        <w:t>וכן הכה אותו ברגליו והפילו על הארץ</w:t>
      </w:r>
      <w:r>
        <w:rPr>
          <w:rtl w:val="true"/>
        </w:rPr>
        <w:t xml:space="preserve">. </w:t>
      </w:r>
      <w:r>
        <w:rPr>
          <w:rtl w:val="true"/>
        </w:rPr>
        <w:t>הנאשם נידון למאסר על תנאי</w:t>
      </w:r>
      <w:r>
        <w:rPr>
          <w:rtl w:val="true"/>
        </w:rPr>
        <w:t xml:space="preserve">, </w:t>
      </w:r>
      <w:r>
        <w:rPr>
          <w:rtl w:val="true"/>
        </w:rPr>
        <w:t>התחייבות להימנע מעבירה ופיצוי למתלונן</w:t>
      </w:r>
      <w:r>
        <w:rPr>
          <w:rtl w:val="true"/>
        </w:rPr>
        <w:t xml:space="preserve">. </w:t>
      </w:r>
      <w:r>
        <w:rPr>
          <w:rtl w:val="true"/>
        </w:rPr>
        <w:t>בשים לב לכך שהמעשים בוצעו שלא על רקע אידיאולוגי</w:t>
      </w:r>
      <w:r>
        <w:rPr>
          <w:rtl w:val="true"/>
        </w:rPr>
        <w:t xml:space="preserve">, </w:t>
      </w:r>
      <w:r>
        <w:rPr>
          <w:rtl w:val="true"/>
        </w:rPr>
        <w:t>לא ראיתי לראות בעברו הפלילי שיקול משמעותי לחומרא</w:t>
      </w:r>
      <w:r>
        <w:rPr>
          <w:rtl w:val="true"/>
        </w:rPr>
        <w:t>.</w:t>
      </w:r>
    </w:p>
    <w:p>
      <w:pPr>
        <w:pStyle w:val="Style11"/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Style11"/>
        <w:numPr>
          <w:ilvl w:val="0"/>
          <w:numId w:val="2"/>
        </w:numPr>
        <w:bidi w:val="1"/>
        <w:spacing w:before="0" w:after="200"/>
        <w:ind w:hanging="567" w:start="567" w:end="0"/>
        <w:contextualSpacing/>
        <w:jc w:val="both"/>
        <w:rPr>
          <w:b/>
          <w:bCs/>
          <w:u w:val="single"/>
        </w:rPr>
      </w:pPr>
      <w:r>
        <w:rPr>
          <w:rtl w:val="true"/>
        </w:rPr>
        <w:t>לאחר בחינת השיקולים השונים</w:t>
      </w:r>
      <w:r>
        <w:rPr>
          <w:rtl w:val="true"/>
        </w:rPr>
        <w:t xml:space="preserve">, </w:t>
      </w:r>
      <w:r>
        <w:rPr>
          <w:rtl w:val="true"/>
        </w:rPr>
        <w:t>החלטתי לגזור על הנאשם את העונשים הבאים</w:t>
      </w:r>
      <w:r>
        <w:rPr>
          <w:rtl w:val="true"/>
        </w:rPr>
        <w:t>:</w:t>
      </w:r>
    </w:p>
    <w:p>
      <w:pPr>
        <w:pStyle w:val="Style11"/>
        <w:bidi w:val="1"/>
        <w:spacing w:before="0" w:after="200"/>
        <w:ind w:start="567" w:end="0"/>
        <w:contextualSpacing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Style11"/>
        <w:numPr>
          <w:ilvl w:val="0"/>
          <w:numId w:val="3"/>
        </w:numPr>
        <w:bidi w:val="1"/>
        <w:spacing w:before="0" w:after="200"/>
        <w:ind w:hanging="360" w:start="927" w:end="0"/>
        <w:contextualSpacing/>
        <w:jc w:val="both"/>
        <w:rPr>
          <w:b/>
          <w:bCs/>
          <w:u w:val="single"/>
        </w:rPr>
      </w:pPr>
      <w:r>
        <w:rPr/>
        <w:t>28</w:t>
      </w:r>
      <w:r>
        <w:rPr>
          <w:rtl w:val="true"/>
        </w:rPr>
        <w:t xml:space="preserve"> </w:t>
      </w:r>
      <w:r>
        <w:rPr>
          <w:rtl w:val="true"/>
        </w:rPr>
        <w:t>חודשי מאסר בפועל</w:t>
      </w:r>
      <w:r>
        <w:rPr>
          <w:rtl w:val="true"/>
        </w:rPr>
        <w:t xml:space="preserve">, </w:t>
      </w:r>
      <w:r>
        <w:rPr>
          <w:rtl w:val="true"/>
        </w:rPr>
        <w:t xml:space="preserve">בניכוי ימי מעצרו מיום מעצרו המינהלי בגין העבירות נושא תיק זה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/>
        <w:t>29.11.13</w:t>
      </w:r>
      <w:r>
        <w:rPr>
          <w:rtl w:val="true"/>
        </w:rPr>
        <w:t xml:space="preserve">. </w:t>
      </w:r>
    </w:p>
    <w:p>
      <w:pPr>
        <w:pStyle w:val="Style11"/>
        <w:bidi w:val="1"/>
        <w:spacing w:before="0" w:after="200"/>
        <w:ind w:start="927" w:end="0"/>
        <w:contextualSpacing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Style11"/>
        <w:numPr>
          <w:ilvl w:val="0"/>
          <w:numId w:val="3"/>
        </w:numPr>
        <w:bidi w:val="1"/>
        <w:spacing w:before="0" w:after="200"/>
        <w:ind w:hanging="360" w:start="927" w:end="0"/>
        <w:contextualSpacing/>
        <w:jc w:val="both"/>
        <w:rPr>
          <w:b/>
          <w:bCs/>
          <w:u w:val="single"/>
        </w:rPr>
      </w:pP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חודשי מאסר על תנאי</w:t>
      </w:r>
      <w:r>
        <w:rPr>
          <w:rtl w:val="true"/>
        </w:rPr>
        <w:t xml:space="preserve">, </w:t>
      </w:r>
      <w:r>
        <w:rPr>
          <w:rtl w:val="true"/>
        </w:rPr>
        <w:t>והתנאי הוא שלא יעבור</w:t>
      </w:r>
      <w:r>
        <w:rPr>
          <w:rtl w:val="true"/>
        </w:rPr>
        <w:t xml:space="preserve">, </w:t>
      </w:r>
      <w:r>
        <w:rPr>
          <w:rtl w:val="true"/>
        </w:rPr>
        <w:t xml:space="preserve">במשך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 מיום שחרורו מהמאסר</w:t>
      </w:r>
      <w:r>
        <w:rPr>
          <w:rtl w:val="true"/>
        </w:rPr>
        <w:t xml:space="preserve">, </w:t>
      </w:r>
      <w:r>
        <w:rPr>
          <w:rtl w:val="true"/>
        </w:rPr>
        <w:t>עבירות אלימות או נשק מסוג פשע</w:t>
      </w:r>
      <w:r>
        <w:rPr>
          <w:rtl w:val="true"/>
        </w:rPr>
        <w:t>.</w:t>
      </w:r>
    </w:p>
    <w:p>
      <w:pPr>
        <w:pStyle w:val="Style11"/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Style11"/>
        <w:numPr>
          <w:ilvl w:val="0"/>
          <w:numId w:val="3"/>
        </w:numPr>
        <w:bidi w:val="1"/>
        <w:spacing w:before="0" w:after="200"/>
        <w:ind w:hanging="360" w:start="927" w:end="0"/>
        <w:contextualSpacing/>
        <w:jc w:val="both"/>
        <w:rPr>
          <w:b/>
          <w:bCs/>
          <w:u w:val="single"/>
        </w:rPr>
      </w:pP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 מאסר על תנאי</w:t>
      </w:r>
      <w:r>
        <w:rPr>
          <w:rtl w:val="true"/>
        </w:rPr>
        <w:t xml:space="preserve">, </w:t>
      </w:r>
      <w:r>
        <w:rPr>
          <w:rtl w:val="true"/>
        </w:rPr>
        <w:t>והתנאי הוא שלא יעבור</w:t>
      </w:r>
      <w:r>
        <w:rPr>
          <w:rtl w:val="true"/>
        </w:rPr>
        <w:t xml:space="preserve">, </w:t>
      </w:r>
      <w:r>
        <w:rPr>
          <w:rtl w:val="true"/>
        </w:rPr>
        <w:t xml:space="preserve">במשך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 מיום שחרורו מהמאסר</w:t>
      </w:r>
      <w:r>
        <w:rPr>
          <w:rtl w:val="true"/>
        </w:rPr>
        <w:t xml:space="preserve">, </w:t>
      </w:r>
      <w:r>
        <w:rPr>
          <w:rtl w:val="true"/>
        </w:rPr>
        <w:t>עבירות אלימות או נשק מסוג עוון</w:t>
      </w:r>
      <w:r>
        <w:rPr>
          <w:rtl w:val="true"/>
        </w:rPr>
        <w:t>.</w:t>
      </w:r>
    </w:p>
    <w:p>
      <w:pPr>
        <w:pStyle w:val="Style11"/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spacing w:before="0" w:after="20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זכות ערעור לבית</w:t>
      </w:r>
      <w:r>
        <w:rPr>
          <w:b/>
          <w:bCs/>
          <w:u w:val="single"/>
          <w:rtl w:val="true"/>
        </w:rPr>
        <w:t>-</w:t>
      </w:r>
      <w:r>
        <w:rPr>
          <w:b/>
          <w:b/>
          <w:bCs/>
          <w:u w:val="single"/>
          <w:rtl w:val="true"/>
        </w:rPr>
        <w:t xml:space="preserve">המשפט העליון תוך </w:t>
      </w:r>
      <w:r>
        <w:rPr>
          <w:b/>
          <w:bCs/>
          <w:u w:val="single"/>
        </w:rPr>
        <w:t>45</w:t>
      </w:r>
      <w:r>
        <w:rPr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ימים מהיום</w:t>
      </w:r>
      <w:r>
        <w:rPr>
          <w:b/>
          <w:bCs/>
          <w:u w:val="single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Style w:val="LineNumber"/>
          <w:rFonts w:cs="David"/>
          <w:szCs w:val="24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Style w:val="LineNumber"/>
          <w:rFonts w:cs="David"/>
          <w:sz w:val="6"/>
          <w:szCs w:val="6"/>
          <w:rtl w:val="true"/>
        </w:rPr>
        <w:t>&lt;</w:t>
      </w:r>
      <w:r>
        <w:rPr>
          <w:rStyle w:val="LineNumber"/>
          <w:rFonts w:cs="David"/>
          <w:sz w:val="6"/>
          <w:szCs w:val="6"/>
        </w:rPr>
        <w:t>#4#</w:t>
      </w:r>
      <w:r>
        <w:rPr>
          <w:rStyle w:val="LineNumber"/>
          <w:rFonts w:cs="David"/>
          <w:sz w:val="6"/>
          <w:szCs w:val="6"/>
          <w:rtl w:val="true"/>
        </w:rPr>
        <w:t>&gt;</w:t>
      </w:r>
    </w:p>
    <w:p>
      <w:pPr>
        <w:pStyle w:val="Normal"/>
        <w:ind w:end="0"/>
        <w:jc w:val="end"/>
        <w:rPr>
          <w:rStyle w:val="LineNumber"/>
          <w:rFonts w:cs="David"/>
          <w:sz w:val="6"/>
          <w:szCs w:val="6"/>
        </w:rPr>
      </w:pPr>
      <w:r>
        <w:rPr>
          <w:rtl w:val="true"/>
        </w:rPr>
      </w:r>
    </w:p>
    <w:p>
      <w:pPr>
        <w:pStyle w:val="Normal"/>
        <w:ind w:end="0"/>
        <w:jc w:val="center"/>
        <w:rPr>
          <w:b/>
          <w:bCs/>
        </w:rPr>
      </w:pPr>
      <w:r>
        <w:rPr>
          <w:b/>
          <w:b/>
          <w:bCs/>
          <w:rtl w:val="true"/>
        </w:rPr>
        <w:t>ניתן והודע היום כ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א סיוון תשע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ה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08/06/2015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במעמד הנוכחים</w:t>
      </w:r>
      <w:r>
        <w:rPr>
          <w:b/>
          <w:bCs/>
          <w:rtl w:val="true"/>
        </w:rPr>
        <w:t xml:space="preserve">. </w:t>
      </w:r>
    </w:p>
    <w:p>
      <w:pPr>
        <w:pStyle w:val="Normal"/>
        <w:ind w:end="0"/>
        <w:jc w:val="center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end="0"/>
        <w:jc w:val="center"/>
        <w:rPr>
          <w:b/>
          <w:bCs/>
        </w:rPr>
      </w:pPr>
      <w:r>
        <w:rPr>
          <w:b/>
          <w:bCs/>
          <w:rtl w:val="true"/>
        </w:rPr>
      </w:r>
    </w:p>
    <w:tbl>
      <w:tblPr>
        <w:bidiVisual w:val="true"/>
        <w:tblW w:w="3936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936"/>
      </w:tblGrid>
      <w:tr>
        <w:trPr>
          <w:trHeight w:val="361" w:hRule="atLeast"/>
        </w:trPr>
        <w:tc>
          <w:tcPr>
            <w:tcW w:w="3936" w:type="dxa"/>
            <w:tcBorders/>
          </w:tcPr>
          <w:p>
            <w:pPr>
              <w:pStyle w:val="Normal"/>
              <w:ind w:end="0"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>רות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>לורך</w:t>
            </w:r>
            <w:r>
              <w:rPr>
                <w:rFonts w:eastAsia="Times New Roman" w:cs="Times New Roman" w:ascii="Times New Roman" w:hAnsi="Times New Roman"/>
                <w:b/>
                <w:bCs/>
                <w:rtl w:val="true"/>
              </w:rPr>
              <w:t xml:space="preserve">, 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>שופטת</w:t>
            </w:r>
            <w:r>
              <w:rPr>
                <w:rFonts w:eastAsia="Times New Roman" w:cs="Times New Roman" w:ascii="Times New Roman" w:hAnsi="Times New Roman"/>
                <w:b/>
                <w:bCs/>
                <w:rtl w:val="true"/>
              </w:rPr>
              <w:t xml:space="preserve">, 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>סג</w:t>
            </w:r>
            <w:r>
              <w:rPr>
                <w:rFonts w:eastAsia="Times New Roman" w:cs="Times New Roman" w:ascii="Times New Roman" w:hAnsi="Times New Roman"/>
                <w:b/>
                <w:bCs/>
                <w:rtl w:val="true"/>
              </w:rPr>
              <w:t>"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>נ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 xml:space="preserve"> </w:t>
            </w:r>
          </w:p>
        </w:tc>
      </w:tr>
    </w:tbl>
    <w:p>
      <w:pPr>
        <w:pStyle w:val="Normal"/>
        <w:ind w:end="0"/>
        <w:jc w:val="end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54678313</w:t>
      </w:r>
    </w:p>
    <w:p>
      <w:pPr>
        <w:pStyle w:val="Normal"/>
        <w:spacing w:lineRule="auto" w:line="360"/>
        <w:ind w:end="0"/>
        <w:jc w:val="center"/>
        <w:rPr>
          <w:rStyle w:val="LineNumber"/>
          <w:rFonts w:cs="David"/>
          <w:szCs w:val="24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spacing w:lineRule="auto" w:line="360"/>
        <w:ind w:end="0"/>
        <w:jc w:val="both"/>
        <w:rPr>
          <w:rStyle w:val="LineNumber"/>
          <w:rFonts w:cs="David"/>
          <w:color w:val="000000"/>
          <w:sz w:val="22"/>
          <w:szCs w:val="22"/>
        </w:rPr>
      </w:pPr>
      <w:r>
        <w:rPr>
          <w:rStyle w:val="LineNumber"/>
          <w:rFonts w:cs="David"/>
          <w:szCs w:val="24"/>
          <w:rtl w:val="true"/>
        </w:rPr>
        <w:t xml:space="preserve">    </w:t>
      </w:r>
    </w:p>
    <w:p>
      <w:pPr>
        <w:pStyle w:val="Normal"/>
        <w:keepNext w:val="true"/>
        <w:spacing w:lineRule="auto" w:line="360"/>
        <w:ind w:end="0"/>
        <w:jc w:val="start"/>
        <w:rPr/>
      </w:pPr>
      <w:r>
        <w:rPr>
          <w:rStyle w:val="LineNumber"/>
          <w:color w:val="000000"/>
          <w:sz w:val="22"/>
          <w:sz w:val="22"/>
          <w:szCs w:val="22"/>
          <w:rtl w:val="true"/>
        </w:rPr>
        <w:t xml:space="preserve">רות לורך </w:t>
      </w:r>
      <w:r>
        <w:rPr>
          <w:rStyle w:val="LineNumber"/>
          <w:rFonts w:cs="David"/>
          <w:color w:val="000000"/>
          <w:sz w:val="22"/>
          <w:szCs w:val="22"/>
        </w:rPr>
        <w:t>54678313</w:t>
      </w:r>
    </w:p>
    <w:p>
      <w:pPr>
        <w:pStyle w:val="Normal"/>
        <w:spacing w:lineRule="auto" w:line="360"/>
        <w:ind w:end="0"/>
        <w:jc w:val="start"/>
        <w:rPr>
          <w:rStyle w:val="LineNumber"/>
          <w:rFonts w:cs="David"/>
          <w:szCs w:val="24"/>
        </w:rPr>
      </w:pPr>
      <w:r>
        <w:rPr>
          <w:rStyle w:val="LineNumber"/>
          <w:color w:val="000000"/>
          <w:szCs w:val="24"/>
          <w:rtl w:val="true"/>
        </w:rPr>
        <w:t>נוסח מסמך זה כפוף לשינויי ניסוח ועריכה</w:t>
      </w:r>
    </w:p>
    <w:p>
      <w:pPr>
        <w:pStyle w:val="Normal"/>
        <w:spacing w:lineRule="auto" w:line="360"/>
        <w:ind w:end="0"/>
        <w:jc w:val="start"/>
        <w:rPr>
          <w:rStyle w:val="LineNumber"/>
          <w:rFonts w:cs="David"/>
          <w:szCs w:val="24"/>
        </w:rPr>
      </w:pPr>
      <w:r>
        <w:rPr>
          <w:rtl w:val="true"/>
        </w:rPr>
      </w:r>
    </w:p>
    <w:p>
      <w:pPr>
        <w:pStyle w:val="Normal"/>
        <w:spacing w:lineRule="auto" w:line="360"/>
        <w:ind w:end="0"/>
        <w:jc w:val="center"/>
        <w:rPr>
          <w:rStyle w:val="LineNumber"/>
          <w:rFonts w:cs="David"/>
          <w:color w:val="0000FF"/>
          <w:szCs w:val="24"/>
          <w:u w:val="single"/>
        </w:rPr>
      </w:pPr>
      <w:hyperlink r:id="rId22">
        <w:r>
          <w:rPr>
            <w:rStyle w:val="Hyperlink"/>
            <w:rFonts w:cs="Arial"/>
            <w:color w:val="0000FF"/>
            <w:szCs w:val="24"/>
            <w:u w:val="single"/>
            <w:rtl w:val="true"/>
          </w:rPr>
          <w:t>בעניין עריכה ושינויים במסמכי פסיקה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rFonts w:cs="Arial"/>
            <w:color w:val="0000FF"/>
            <w:szCs w:val="24"/>
            <w:u w:val="single"/>
            <w:rtl w:val="true"/>
          </w:rPr>
          <w:t>חקיקה ועוד באתר נבו – הקש כאן</w:t>
        </w:r>
      </w:hyperlink>
    </w:p>
    <w:p>
      <w:pPr>
        <w:pStyle w:val="Normal"/>
        <w:spacing w:lineRule="auto" w:line="360"/>
        <w:ind w:end="0"/>
        <w:jc w:val="center"/>
        <w:rPr>
          <w:rStyle w:val="LineNumber"/>
          <w:rFonts w:cs="David"/>
          <w:color w:val="0000FF"/>
          <w:szCs w:val="24"/>
          <w:u w:val="single"/>
        </w:rPr>
      </w:pPr>
      <w:r>
        <w:rPr>
          <w:rtl w:val="true"/>
        </w:rPr>
      </w:r>
    </w:p>
    <w:sectPr>
      <w:headerReference w:type="default" r:id="rId23"/>
      <w:footerReference w:type="default" r:id="rId24"/>
      <w:type w:val="nextPage"/>
      <w:pgSz w:w="11906" w:h="16838"/>
      <w:pgMar w:left="1701" w:right="1701" w:gutter="0" w:header="1077" w:top="1701" w:footer="1157" w:bottom="1440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b1" w:characterSet="windows-1255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10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 xml:space="preserve">תפ </w:t>
    </w:r>
    <w:r>
      <w:rPr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מרכז</w:t>
    </w:r>
    <w:r>
      <w:rPr>
        <w:color w:val="000000"/>
        <w:sz w:val="22"/>
        <w:szCs w:val="22"/>
        <w:rtl w:val="true"/>
      </w:rPr>
      <w:t xml:space="preserve">) </w:t>
    </w:r>
    <w:r>
      <w:rPr>
        <w:color w:val="000000"/>
        <w:sz w:val="22"/>
        <w:szCs w:val="22"/>
      </w:rPr>
      <w:t>7658-05-14</w:t>
    </w:r>
    <w:r>
      <w:rPr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 ישראל נ</w:t>
    </w:r>
    <w:r>
      <w:rPr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חאלד דאוד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decimal"/>
      <w:lvlText w:val="%1."/>
      <w:lvlJc w:val="end"/>
      <w:pPr>
        <w:tabs>
          <w:tab w:val="num" w:pos="0"/>
        </w:tabs>
        <w:ind w:start="567" w:hanging="567"/>
      </w:pPr>
      <w:rPr>
        <w:b w:val="false"/>
        <w:bCs w:val="false"/>
      </w:rPr>
    </w:lvl>
    <w:lvl w:ilvl="1">
      <w:start w:val="1"/>
      <w:numFmt w:val="hebrew1"/>
      <w:lvlText w:val="%2."/>
      <w:lvlJc w:val="center"/>
      <w:pPr>
        <w:tabs>
          <w:tab w:val="num" w:pos="0"/>
        </w:tabs>
        <w:ind w:start="1080" w:hanging="360"/>
      </w:pPr>
    </w:lvl>
    <w:lvl w:ilvl="2">
      <w:start w:val="1"/>
      <w:numFmt w:val="lowerRoman"/>
      <w:lvlText w:val="%3."/>
      <w:lvlJc w:val="end"/>
      <w:pPr>
        <w:tabs>
          <w:tab w:val="num" w:pos="0"/>
        </w:tabs>
        <w:ind w:start="1800" w:hanging="180"/>
      </w:pPr>
    </w:lvl>
    <w:lvl w:ilvl="3">
      <w:start w:val="1"/>
      <w:numFmt w:val="decimal"/>
      <w:lvlText w:val="%4."/>
      <w:lvlJc w:val="start"/>
      <w:pPr>
        <w:tabs>
          <w:tab w:val="num" w:pos="0"/>
        </w:tabs>
        <w:ind w:start="2520" w:hanging="360"/>
      </w:pPr>
    </w:lvl>
    <w:lvl w:ilvl="4">
      <w:start w:val="1"/>
      <w:numFmt w:val="lowerLetter"/>
      <w:lvlText w:val="%5."/>
      <w:lvlJc w:val="start"/>
      <w:pPr>
        <w:tabs>
          <w:tab w:val="num" w:pos="0"/>
        </w:tabs>
        <w:ind w:start="3240" w:hanging="360"/>
      </w:pPr>
    </w:lvl>
    <w:lvl w:ilvl="5">
      <w:start w:val="1"/>
      <w:numFmt w:val="lowerRoman"/>
      <w:lvlText w:val="%6."/>
      <w:lvlJc w:val="end"/>
      <w:pPr>
        <w:tabs>
          <w:tab w:val="num" w:pos="0"/>
        </w:tabs>
        <w:ind w:start="3960" w:hanging="180"/>
      </w:pPr>
    </w:lvl>
    <w:lvl w:ilvl="6">
      <w:start w:val="1"/>
      <w:numFmt w:val="decimal"/>
      <w:lvlText w:val="%7."/>
      <w:lvlJc w:val="start"/>
      <w:pPr>
        <w:tabs>
          <w:tab w:val="num" w:pos="0"/>
        </w:tabs>
        <w:ind w:start="4680" w:hanging="360"/>
      </w:pPr>
    </w:lvl>
    <w:lvl w:ilvl="7">
      <w:start w:val="1"/>
      <w:numFmt w:val="lowerLetter"/>
      <w:lvlText w:val="%8."/>
      <w:lvlJc w:val="start"/>
      <w:pPr>
        <w:tabs>
          <w:tab w:val="num" w:pos="0"/>
        </w:tabs>
        <w:ind w:start="5400" w:hanging="360"/>
      </w:pPr>
    </w:lvl>
    <w:lvl w:ilvl="8">
      <w:start w:val="1"/>
      <w:numFmt w:val="lowerRoman"/>
      <w:lvlText w:val="%9."/>
      <w:lvlJc w:val="end"/>
      <w:pPr>
        <w:tabs>
          <w:tab w:val="num" w:pos="0"/>
        </w:tabs>
        <w:ind w:start="6120" w:hanging="180"/>
      </w:pPr>
    </w:lvl>
  </w:abstractNum>
  <w:abstractNum w:abstractNumId="3">
    <w:lvl w:ilvl="0">
      <w:start w:val="1"/>
      <w:numFmt w:val="hebrew1"/>
      <w:lvlText w:val="%1."/>
      <w:lvlJc w:val="end"/>
      <w:pPr>
        <w:tabs>
          <w:tab w:val="num" w:pos="0"/>
        </w:tabs>
        <w:ind w:start="927" w:hanging="360"/>
      </w:pPr>
      <w:rPr>
        <w:dstrike w:val="false"/>
        <w:strike w:val="false"/>
        <w:u w:val="none"/>
        <w:b w:val="false"/>
        <w:bCs w:val="fals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CaseDisplayIdentifier" w:val="7658-05-14"/>
    <w:docVar w:name="caseId" w:val="71865618"/>
    <w:docVar w:name="deriveClass" w:val="NGCS.Protocol.BL.Client.ProtocolBLClientCriminal"/>
    <w:docVar w:name="firstPageNumber" w:val="17"/>
    <w:docVar w:name="MyInfo" w:val="This document was extracted from Nevo's site"/>
    <w:docVar w:name="NGCS.caseInterestID" w:val="-1"/>
    <w:docVar w:name="NGCS.caseTypeID" w:val="-1"/>
    <w:docVar w:name="NGCS.courtID" w:val="896"/>
    <w:docVar w:name="NGCS.isReservedAddressPlace" w:val="0"/>
    <w:docVar w:name="NGCS.isReservedVoucherPlace" w:val="0"/>
    <w:docVar w:name="NGCS.proceedingID" w:val="-1"/>
    <w:docVar w:name="NGCS.userUPN" w:val="כולם"/>
    <w:docVar w:name="privellegeId" w:val="1"/>
    <w:docVar w:name="protocolId" w:val="5799159"/>
    <w:docVar w:name="releaseSign" w:val="0"/>
    <w:docVar w:name="sittingDateTime" w:val="08/06/2015 14:00     "/>
    <w:docVar w:name="sittingId" w:val="78723584"/>
    <w:docVar w:name="sittingTypeId" w:val="2"/>
    <w:docVar w:name="WordClientAssemblyName" w:val="NGCS.Protocol.BL.Client"/>
    <w:docVar w:name="WordClientClassName" w:val="NGCS.Templates.UIP.TemplateWordClient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David" w:hAnsi="David" w:eastAsia="David" w:cs="David"/>
      <w:color w:val="auto"/>
      <w:sz w:val="24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pacing w:before="240" w:after="60"/>
      <w:outlineLvl w:val="1"/>
    </w:pPr>
    <w:rPr>
      <w:b/>
      <w:bCs/>
      <w:i/>
      <w:iCs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spacing w:before="240" w:after="60"/>
      <w:outlineLvl w:val="2"/>
    </w:pPr>
    <w:rPr>
      <w:b/>
      <w:bCs/>
      <w:sz w:val="26"/>
      <w:szCs w:val="26"/>
    </w:rPr>
  </w:style>
  <w:style w:type="character" w:styleId="WW8Num5z0">
    <w:name w:val="WW8Num5z0"/>
    <w:qFormat/>
    <w:rPr/>
  </w:style>
  <w:style w:type="character" w:styleId="WW8Num7z0">
    <w:name w:val="WW8Num7z0"/>
    <w:qFormat/>
    <w:rPr/>
  </w:style>
  <w:style w:type="character" w:styleId="WW8Num11z0">
    <w:name w:val="WW8Num11z0"/>
    <w:qFormat/>
    <w:rPr/>
  </w:style>
  <w:style w:type="character" w:styleId="WW8Num12z0">
    <w:name w:val="WW8Num12z0"/>
    <w:qFormat/>
    <w:rPr/>
  </w:style>
  <w:style w:type="character" w:styleId="WW8Num14z0">
    <w:name w:val="WW8Num14z0"/>
    <w:qFormat/>
    <w:rPr>
      <w:b w:val="false"/>
      <w:bCs w:val="false"/>
      <w:strike w:val="false"/>
      <w:dstrike w:val="false"/>
      <w:u w:val="none"/>
    </w:rPr>
  </w:style>
  <w:style w:type="character" w:styleId="WW8Num19z0">
    <w:name w:val="WW8Num19z0"/>
    <w:qFormat/>
    <w:rPr>
      <w:b w:val="false"/>
      <w:bCs w:val="false"/>
    </w:rPr>
  </w:style>
  <w:style w:type="character" w:styleId="DefaultParagraphFont">
    <w:name w:val="Default Paragraph Font"/>
    <w:qFormat/>
    <w:rPr/>
  </w:style>
  <w:style w:type="character" w:styleId="CommentReference">
    <w:name w:val="Comment Reference"/>
    <w:qFormat/>
    <w:rPr>
      <w:sz w:val="16"/>
      <w:szCs w:val="16"/>
    </w:rPr>
  </w:style>
  <w:style w:type="character" w:styleId="PageNumber">
    <w:name w:val="page number"/>
    <w:basedOn w:val="DefaultParagraphFont"/>
    <w:rPr/>
  </w:style>
  <w:style w:type="character" w:styleId="LineNumber">
    <w:name w:val="line number"/>
    <w:rPr>
      <w:rFonts w:cs="Arial"/>
      <w:szCs w:val="20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CommentText">
    <w:name w:val="Comment Text"/>
    <w:basedOn w:val="Normal"/>
    <w:qFormat/>
    <w:pPr/>
    <w:rPr>
      <w:rFonts w:ascii="Times New Roman" w:hAnsi="Times New Roman" w:eastAsia="Times New Roman" w:cs="Times New Roman"/>
      <w:sz w:val="20"/>
      <w:szCs w:val="20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Arial12">
    <w:name w:val="סגנון (לטיני) Arial ‏12 נק' מיושר לשני הצדדים מרווח בין שורות:  ..."/>
    <w:basedOn w:val="Normal"/>
    <w:qFormat/>
    <w:pPr>
      <w:spacing w:lineRule="auto" w:line="360"/>
      <w:jc w:val="both"/>
    </w:pPr>
    <w:rPr>
      <w:rFonts w:ascii="Arial" w:hAnsi="Arial" w:eastAsia="Times New Roman" w:cs="Arial"/>
    </w:rPr>
  </w:style>
  <w:style w:type="paragraph" w:styleId="12">
    <w:name w:val="רגיל + ‏12 נק'"/>
    <w:basedOn w:val="Normal"/>
    <w:qFormat/>
    <w:pPr/>
    <w:rPr>
      <w:rFonts w:ascii="Times New Roman" w:hAnsi="Times New Roman" w:eastAsia="Times New Roman" w:cs="Times New Roman"/>
      <w:b/>
      <w:bCs/>
      <w:u w:val="single"/>
    </w:rPr>
  </w:style>
  <w:style w:type="paragraph" w:styleId="David">
    <w:name w:val="סגנון (עברית ושפות אחרות) David מיושר לשני הצדדים מרווח בין שורות..."/>
    <w:basedOn w:val="Normal"/>
    <w:qFormat/>
    <w:pPr>
      <w:spacing w:lineRule="auto" w:line="360"/>
      <w:jc w:val="both"/>
    </w:pPr>
    <w:rPr>
      <w:rFonts w:ascii="Times New Roman" w:hAnsi="Times New Roman" w:eastAsia="Times New Roman" w:cs="Times New Roman"/>
    </w:rPr>
  </w:style>
  <w:style w:type="paragraph" w:styleId="Style11">
    <w:name w:val="פיסקת רשימה"/>
    <w:basedOn w:val="Normal"/>
    <w:qFormat/>
    <w:pPr>
      <w:bidi w:val="0"/>
      <w:spacing w:lineRule="auto" w:line="360" w:before="0" w:after="0"/>
      <w:ind w:hanging="0" w:start="720" w:end="0"/>
      <w:contextualSpacing/>
      <w:jc w:val="end"/>
    </w:pPr>
    <w:rPr>
      <w:rFonts w:ascii="Arial" w:hAnsi="Arial" w:eastAsia="Times New Roman" w:cs="Arial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25" TargetMode="External"/><Relationship Id="rId4" Type="http://schemas.openxmlformats.org/officeDocument/2006/relationships/hyperlink" Target="http://www.nevo.co.il/law/70301/29.b" TargetMode="External"/><Relationship Id="rId5" Type="http://schemas.openxmlformats.org/officeDocument/2006/relationships/hyperlink" Target="http://www.nevo.co.il/law/70301/144.b2" TargetMode="External"/><Relationship Id="rId6" Type="http://schemas.openxmlformats.org/officeDocument/2006/relationships/hyperlink" Target="http://www.nevo.co.il/law/70301/499.a.1" TargetMode="External"/><Relationship Id="rId7" Type="http://schemas.openxmlformats.org/officeDocument/2006/relationships/hyperlink" Target="http://www.nevo.co.il/law/70301" TargetMode="External"/><Relationship Id="rId8" Type="http://schemas.openxmlformats.org/officeDocument/2006/relationships/hyperlink" Target="http://www.nevo.co.il/law/70301/25" TargetMode="External"/><Relationship Id="rId9" Type="http://schemas.openxmlformats.org/officeDocument/2006/relationships/hyperlink" Target="http://www.nevo.co.il/law/70301/29.b" TargetMode="External"/><Relationship Id="rId10" Type="http://schemas.openxmlformats.org/officeDocument/2006/relationships/hyperlink" Target="http://www.nevo.co.il/law/70301/144.b2" TargetMode="External"/><Relationship Id="rId11" Type="http://schemas.openxmlformats.org/officeDocument/2006/relationships/hyperlink" Target="http://www.nevo.co.il/law/70301/499.a.1" TargetMode="External"/><Relationship Id="rId12" Type="http://schemas.openxmlformats.org/officeDocument/2006/relationships/hyperlink" Target="http://www.nevo.co.il/law/70301/499.a.1" TargetMode="External"/><Relationship Id="rId13" Type="http://schemas.openxmlformats.org/officeDocument/2006/relationships/hyperlink" Target="http://www.nevo.co.il/law/70301" TargetMode="External"/><Relationship Id="rId14" Type="http://schemas.openxmlformats.org/officeDocument/2006/relationships/hyperlink" Target="http://www.nevo.co.il/law/70301/144.b2" TargetMode="External"/><Relationship Id="rId15" Type="http://schemas.openxmlformats.org/officeDocument/2006/relationships/hyperlink" Target="http://www.nevo.co.il/law/70301/25" TargetMode="External"/><Relationship Id="rId16" Type="http://schemas.openxmlformats.org/officeDocument/2006/relationships/hyperlink" Target="http://www.nevo.co.il/law/70301/29.b" TargetMode="External"/><Relationship Id="rId17" Type="http://schemas.openxmlformats.org/officeDocument/2006/relationships/hyperlink" Target="http://www.nevo.co.il/case/6950426" TargetMode="External"/><Relationship Id="rId18" Type="http://schemas.openxmlformats.org/officeDocument/2006/relationships/hyperlink" Target="http://www.nevo.co.il/case/3552109" TargetMode="External"/><Relationship Id="rId19" Type="http://schemas.openxmlformats.org/officeDocument/2006/relationships/hyperlink" Target="http://www.nevo.co.il/case/6234174" TargetMode="External"/><Relationship Id="rId20" Type="http://schemas.openxmlformats.org/officeDocument/2006/relationships/hyperlink" Target="http://www.nevo.co.il/case/7712224" TargetMode="External"/><Relationship Id="rId21" Type="http://schemas.openxmlformats.org/officeDocument/2006/relationships/hyperlink" Target="http://www.nevo.co.il/case/5799028" TargetMode="External"/><Relationship Id="rId22" Type="http://schemas.openxmlformats.org/officeDocument/2006/relationships/hyperlink" Target="http://www.nevo.co.il/advertisements/nevo-100.doc" TargetMode="External"/><Relationship Id="rId23" Type="http://schemas.openxmlformats.org/officeDocument/2006/relationships/header" Target="header1.xml"/><Relationship Id="rId24" Type="http://schemas.openxmlformats.org/officeDocument/2006/relationships/footer" Target="footer1.xml"/><Relationship Id="rId25" Type="http://schemas.openxmlformats.org/officeDocument/2006/relationships/numbering" Target="numbering.xml"/><Relationship Id="rId26" Type="http://schemas.openxmlformats.org/officeDocument/2006/relationships/fontTable" Target="fontTable.xml"/><Relationship Id="rId27" Type="http://schemas.openxmlformats.org/officeDocument/2006/relationships/settings" Target="settings.xml"/><Relationship Id="rId28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2015-06-10T12:06:00Z</dcterms:created>
  <dc:creator> </dc:creator>
  <dc:description/>
  <cp:keywords/>
  <dc:language>en-IL</dc:language>
  <cp:lastModifiedBy>orly</cp:lastModifiedBy>
  <cp:lastPrinted>2015-06-08T15:11:00Z</cp:lastPrinted>
  <dcterms:modified xsi:type="dcterms:W3CDTF">2015-06-10T12:06:00Z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חאלד דאוד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6950426;3552109;6234174;7712224;5799028</vt:lpwstr>
  </property>
  <property fmtid="{D5CDD505-2E9C-101B-9397-08002B2CF9AE}" pid="9" name="CITY">
    <vt:lpwstr>מרכז</vt:lpwstr>
  </property>
  <property fmtid="{D5CDD505-2E9C-101B-9397-08002B2CF9AE}" pid="10" name="DATE">
    <vt:lpwstr>20150608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רות לורך</vt:lpwstr>
  </property>
  <property fmtid="{D5CDD505-2E9C-101B-9397-08002B2CF9AE}" pid="14" name="LAWLISTTMP1">
    <vt:lpwstr>70301/025;029.b;144.b2;499.a.1</vt:lpwstr>
  </property>
  <property fmtid="{D5CDD505-2E9C-101B-9397-08002B2CF9AE}" pid="15" name="LAWYER">
    <vt:lpwstr>שרון משעל;לאה צמל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METAKZER">
    <vt:lpwstr>מיכל</vt:lpwstr>
  </property>
  <property fmtid="{D5CDD505-2E9C-101B-9397-08002B2CF9AE}" pid="22" name="NEWPARTA">
    <vt:lpwstr>7658</vt:lpwstr>
  </property>
  <property fmtid="{D5CDD505-2E9C-101B-9397-08002B2CF9AE}" pid="23" name="NEWPARTB">
    <vt:lpwstr>05</vt:lpwstr>
  </property>
  <property fmtid="{D5CDD505-2E9C-101B-9397-08002B2CF9AE}" pid="24" name="NEWPARTC">
    <vt:lpwstr>14</vt:lpwstr>
  </property>
  <property fmtid="{D5CDD505-2E9C-101B-9397-08002B2CF9AE}" pid="25" name="NEWPROC">
    <vt:lpwstr>תפ</vt:lpwstr>
  </property>
  <property fmtid="{D5CDD505-2E9C-101B-9397-08002B2CF9AE}" pid="26" name="NOSE11">
    <vt:lpwstr>עונשין</vt:lpwstr>
  </property>
  <property fmtid="{D5CDD505-2E9C-101B-9397-08002B2CF9AE}" pid="27" name="NOSE110">
    <vt:lpwstr/>
  </property>
  <property fmtid="{D5CDD505-2E9C-101B-9397-08002B2CF9AE}" pid="28" name="NOSE12">
    <vt:lpwstr/>
  </property>
  <property fmtid="{D5CDD505-2E9C-101B-9397-08002B2CF9AE}" pid="29" name="NOSE13">
    <vt:lpwstr/>
  </property>
  <property fmtid="{D5CDD505-2E9C-101B-9397-08002B2CF9AE}" pid="30" name="NOSE14">
    <vt:lpwstr/>
  </property>
  <property fmtid="{D5CDD505-2E9C-101B-9397-08002B2CF9AE}" pid="31" name="NOSE15">
    <vt:lpwstr/>
  </property>
  <property fmtid="{D5CDD505-2E9C-101B-9397-08002B2CF9AE}" pid="32" name="NOSE16">
    <vt:lpwstr/>
  </property>
  <property fmtid="{D5CDD505-2E9C-101B-9397-08002B2CF9AE}" pid="33" name="NOSE17">
    <vt:lpwstr/>
  </property>
  <property fmtid="{D5CDD505-2E9C-101B-9397-08002B2CF9AE}" pid="34" name="NOSE18">
    <vt:lpwstr/>
  </property>
  <property fmtid="{D5CDD505-2E9C-101B-9397-08002B2CF9AE}" pid="35" name="NOSE19">
    <vt:lpwstr/>
  </property>
  <property fmtid="{D5CDD505-2E9C-101B-9397-08002B2CF9AE}" pid="36" name="NOSE1ID">
    <vt:lpwstr>77</vt:lpwstr>
  </property>
  <property fmtid="{D5CDD505-2E9C-101B-9397-08002B2CF9AE}" pid="37" name="NOSE21">
    <vt:lpwstr>ענישה</vt:lpwstr>
  </property>
  <property fmtid="{D5CDD505-2E9C-101B-9397-08002B2CF9AE}" pid="38" name="NOSE210">
    <vt:lpwstr/>
  </property>
  <property fmtid="{D5CDD505-2E9C-101B-9397-08002B2CF9AE}" pid="39" name="NOSE22">
    <vt:lpwstr/>
  </property>
  <property fmtid="{D5CDD505-2E9C-101B-9397-08002B2CF9AE}" pid="40" name="NOSE23">
    <vt:lpwstr/>
  </property>
  <property fmtid="{D5CDD505-2E9C-101B-9397-08002B2CF9AE}" pid="41" name="NOSE24">
    <vt:lpwstr/>
  </property>
  <property fmtid="{D5CDD505-2E9C-101B-9397-08002B2CF9AE}" pid="42" name="NOSE25">
    <vt:lpwstr/>
  </property>
  <property fmtid="{D5CDD505-2E9C-101B-9397-08002B2CF9AE}" pid="43" name="NOSE26">
    <vt:lpwstr/>
  </property>
  <property fmtid="{D5CDD505-2E9C-101B-9397-08002B2CF9AE}" pid="44" name="NOSE27">
    <vt:lpwstr/>
  </property>
  <property fmtid="{D5CDD505-2E9C-101B-9397-08002B2CF9AE}" pid="45" name="NOSE28">
    <vt:lpwstr/>
  </property>
  <property fmtid="{D5CDD505-2E9C-101B-9397-08002B2CF9AE}" pid="46" name="NOSE29">
    <vt:lpwstr/>
  </property>
  <property fmtid="{D5CDD505-2E9C-101B-9397-08002B2CF9AE}" pid="47" name="NOSE2ID">
    <vt:lpwstr>1446</vt:lpwstr>
  </property>
  <property fmtid="{D5CDD505-2E9C-101B-9397-08002B2CF9AE}" pid="48" name="NOSE31">
    <vt:lpwstr>מדיניות ענישה: עבירות ביטחון</vt:lpwstr>
  </property>
  <property fmtid="{D5CDD505-2E9C-101B-9397-08002B2CF9AE}" pid="49" name="NOSE310">
    <vt:lpwstr/>
  </property>
  <property fmtid="{D5CDD505-2E9C-101B-9397-08002B2CF9AE}" pid="50" name="NOSE32">
    <vt:lpwstr/>
  </property>
  <property fmtid="{D5CDD505-2E9C-101B-9397-08002B2CF9AE}" pid="51" name="NOSE33">
    <vt:lpwstr/>
  </property>
  <property fmtid="{D5CDD505-2E9C-101B-9397-08002B2CF9AE}" pid="52" name="NOSE34">
    <vt:lpwstr/>
  </property>
  <property fmtid="{D5CDD505-2E9C-101B-9397-08002B2CF9AE}" pid="53" name="NOSE35">
    <vt:lpwstr/>
  </property>
  <property fmtid="{D5CDD505-2E9C-101B-9397-08002B2CF9AE}" pid="54" name="NOSE36">
    <vt:lpwstr/>
  </property>
  <property fmtid="{D5CDD505-2E9C-101B-9397-08002B2CF9AE}" pid="55" name="NOSE37">
    <vt:lpwstr/>
  </property>
  <property fmtid="{D5CDD505-2E9C-101B-9397-08002B2CF9AE}" pid="56" name="NOSE38">
    <vt:lpwstr/>
  </property>
  <property fmtid="{D5CDD505-2E9C-101B-9397-08002B2CF9AE}" pid="57" name="NOSE39">
    <vt:lpwstr/>
  </property>
  <property fmtid="{D5CDD505-2E9C-101B-9397-08002B2CF9AE}" pid="58" name="NOSE3ID">
    <vt:lpwstr>8985</vt:lpwstr>
  </property>
  <property fmtid="{D5CDD505-2E9C-101B-9397-08002B2CF9AE}" pid="59" name="PADIDATE">
    <vt:lpwstr>20150610</vt:lpwstr>
  </property>
  <property fmtid="{D5CDD505-2E9C-101B-9397-08002B2CF9AE}" pid="60" name="PADIMAIL">
    <vt:lpwstr>YES</vt:lpwstr>
  </property>
  <property fmtid="{D5CDD505-2E9C-101B-9397-08002B2CF9AE}" pid="61" name="PAGE">
    <vt:lpwstr/>
  </property>
  <property fmtid="{D5CDD505-2E9C-101B-9397-08002B2CF9AE}" pid="62" name="PART">
    <vt:lpwstr/>
  </property>
  <property fmtid="{D5CDD505-2E9C-101B-9397-08002B2CF9AE}" pid="63" name="PROCESS">
    <vt:lpwstr/>
  </property>
  <property fmtid="{D5CDD505-2E9C-101B-9397-08002B2CF9AE}" pid="64" name="PROCNUM">
    <vt:lpwstr/>
  </property>
  <property fmtid="{D5CDD505-2E9C-101B-9397-08002B2CF9AE}" pid="65" name="PROCYEAR">
    <vt:lpwstr/>
  </property>
  <property fmtid="{D5CDD505-2E9C-101B-9397-08002B2CF9AE}" pid="66" name="PSAKDIN">
    <vt:lpwstr>גזר-דין</vt:lpwstr>
  </property>
  <property fmtid="{D5CDD505-2E9C-101B-9397-08002B2CF9AE}" pid="67" name="TYPE">
    <vt:lpwstr>2</vt:lpwstr>
  </property>
  <property fmtid="{D5CDD505-2E9C-101B-9397-08002B2CF9AE}" pid="68" name="TYPE_ABS_DATE">
    <vt:lpwstr>390120150608</vt:lpwstr>
  </property>
  <property fmtid="{D5CDD505-2E9C-101B-9397-08002B2CF9AE}" pid="69" name="TYPE_N_DATE">
    <vt:lpwstr>39020150608</vt:lpwstr>
  </property>
  <property fmtid="{D5CDD505-2E9C-101B-9397-08002B2CF9AE}" pid="70" name="VOLUME">
    <vt:lpwstr/>
  </property>
  <property fmtid="{D5CDD505-2E9C-101B-9397-08002B2CF9AE}" pid="71" name="WORDNUMPAGES">
    <vt:lpwstr>9</vt:lpwstr>
  </property>
</Properties>
</file>