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1"/>
        <w:gridCol w:w="3658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3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76750-01-23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קוטוב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פנינה נויבירט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פרקליטות מחוז ירושלים </w:t>
            </w:r>
            <w:r>
              <w:rPr>
                <w:rFonts w:cs="Arial" w:ascii="Arial" w:hAnsi="Arial"/>
                <w:rtl w:val="true"/>
              </w:rPr>
              <w:t>(</w:t>
            </w:r>
            <w:r>
              <w:rPr>
                <w:rFonts w:ascii="Arial" w:hAnsi="Arial" w:cs="Arial"/>
                <w:rtl w:val="true"/>
              </w:rPr>
              <w:t>פלילי</w:t>
            </w:r>
            <w:r>
              <w:rPr>
                <w:rFonts w:cs="Arial" w:ascii="Arial" w:hAnsi="Arial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ascii="David" w:hAnsi="David"/>
                <w:rtl w:val="true"/>
              </w:rPr>
              <w:t xml:space="preserve"> יעל איגרא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קוטוב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חמזה קוטינה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77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u w:val="none"/>
          </w:rPr>
          <w:t>37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רקע כללי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>
          <w:u w:val="single"/>
        </w:rPr>
      </w:pPr>
      <w:bookmarkStart w:id="8" w:name="ABSTRACT_START"/>
      <w:bookmarkEnd w:id="8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בהכרעת דין מיום </w:t>
      </w:r>
      <w:r>
        <w:rPr/>
        <w:t>7.5.24</w:t>
      </w:r>
      <w:r>
        <w:rPr>
          <w:rtl w:val="true"/>
        </w:rPr>
        <w:t xml:space="preserve">, </w:t>
      </w:r>
      <w:r>
        <w:rPr>
          <w:rtl w:val="true"/>
        </w:rPr>
        <w:t>בעבירת מעשה טרור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329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)(</w:t>
        </w:r>
        <w:r>
          <w:rPr>
            <w:rStyle w:val="Hyperlink"/>
            <w:color w:val="0000FF"/>
          </w:rPr>
          <w:t>1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 xml:space="preserve">") </w:t>
      </w:r>
      <w:r>
        <w:rPr>
          <w:rtl w:val="true"/>
        </w:rPr>
        <w:t xml:space="preserve">וסעיף </w:t>
      </w:r>
      <w:hyperlink r:id="rId17">
        <w:r>
          <w:rPr>
            <w:rStyle w:val="Hyperlink"/>
            <w:color w:val="0000FF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מאבק בטרור ובעבירת חבלה במזיד לרכב ממניע גזעני לפי </w:t>
      </w:r>
      <w:hyperlink r:id="rId18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413</w:t>
        </w:r>
        <w:r>
          <w:rPr>
            <w:rStyle w:val="Hyperlink"/>
            <w:color w:val="0000FF"/>
            <w:rtl w:val="true"/>
          </w:rPr>
          <w:t>ה</w:t>
        </w:r>
      </w:hyperlink>
      <w:r>
        <w:rPr>
          <w:rtl w:val="true"/>
        </w:rPr>
        <w:t xml:space="preserve"> ו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ו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</w:p>
    <w:p>
      <w:pPr>
        <w:pStyle w:val="ListParagraph"/>
        <w:ind w:end="0"/>
        <w:jc w:val="both"/>
        <w:rPr>
          <w:u w:val="single"/>
        </w:rPr>
      </w:pPr>
      <w:r>
        <w:rPr>
          <w:u w:val="single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Calibri" w:hAnsi="Calibri" w:cs="Calibri"/>
        </w:rPr>
      </w:pPr>
      <w:r>
        <w:rPr>
          <w:b/>
          <w:b/>
          <w:bCs/>
          <w:rtl w:val="true"/>
        </w:rPr>
        <w:t>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על פי הרקע הכללי לכתב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החל מיום </w:t>
      </w:r>
      <w:r>
        <w:rPr>
          <w:rFonts w:cs="Calibri" w:ascii="Calibri" w:hAnsi="Calibri"/>
        </w:rPr>
        <w:t>13.4.21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במהלך חודש הרמדאן </w:t>
      </w:r>
      <w:r>
        <w:rPr>
          <w:rFonts w:cs="Calibri" w:ascii="Calibri" w:hAnsi="Calibri"/>
        </w:rPr>
        <w:t>2021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התרחשו בארץ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ובירושלים בייחוד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התפרעויות ותקיפות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שכללו 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זריקות אבנים וחפצים לעבר אנשים וכלי רכב בעלי חזות או סממנים יהודיים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 מניע גזעני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התפרעויות ותקיפות על רקע לאומני נגד כוחות המשטרה והביטחון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10.5.21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 יום ירושלים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החל מיום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החמירו ההתפרעויות 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וגלשו אף לעבר ערים מעורבות נוספות ברחבי הארץ</w:t>
      </w:r>
      <w:r>
        <w:rPr>
          <w:rFonts w:cs="Calibri" w:ascii="Calibri" w:hAnsi="Calibri"/>
          <w:rtl w:val="true"/>
        </w:rPr>
        <w:t>.</w:t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בהתאם לעובדות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10.5.21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9:30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נסעו </w:t>
      </w:r>
      <w:r>
        <w:rPr>
          <w:rFonts w:ascii="David" w:hAnsi="David"/>
          <w:rtl w:val="true"/>
        </w:rPr>
        <w:t xml:space="preserve">נפגעי העבירה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לכיוון הכותל כדי להתפלל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 נסעו ברכב מסוג פורד פוקוס לבן השייך לא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השלושה חבשו כיפות לראשם וכולם בעלי חזות יהודית – דתית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בהגיע הרכב לצומת רוקפלר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נאלץ לעמוד בפקק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 הבחינו צעירים ערבים שעמדו בסמוך כי יושבי הרכב יהודים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והחלו לצעוק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מתנחלים מתנחלים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בעקבות כך החלה התגודדות של צעירים ערבים שהחלו ליידות על הרכב אבנים ולבעוט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ממניע לאומני – אידיאולוגי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אחת האבנים ניפצה את השמשה האחורית של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ניסה לברוח מהפורעים אך נתקע בפקק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יידה הנאשם אבן לעבר חלקו האחורי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של פחות ממטר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מתוך מניע לאומני בכוונה לפגוע בצוותא חדא ביושבי הרכב ולגרום להם 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– </w:t>
      </w:r>
      <w:r>
        <w:rPr>
          <w:rFonts w:ascii="David" w:hAnsi="David"/>
          <w:rtl w:val="true"/>
        </w:rPr>
        <w:t xml:space="preserve">אחד הפורעים האחרים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קטין יליד </w:t>
      </w:r>
      <w:r>
        <w:rPr>
          <w:rFonts w:cs="David" w:ascii="David" w:hAnsi="David"/>
        </w:rPr>
        <w:t>2006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פתח את הדלת האחורית ימנית של הרכב וניסה ליידות פנימה אבן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החל לנסוע אחורה כדי לחמוק מהפורעים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שהמשיכו ליידות לעברו חפצים ואבנים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לרסס גז פלפל לתוך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הפורעים פתח את דלת הנהג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מיידוי האבנים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נפצע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עקב הפציעה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מטח האבנים וגז הפלפל שבתוך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איבד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שליטה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והרכב סטה ימינה לתוך חומה נמוכה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ופגע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שעמד על הכביש וחיפש אבנים נוספות כדי ליידותן על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 כך נתקע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כשחציו תקוע על מעקה אבן המפריד בין המדרכה לכביש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בעוד הרכב תקוע על המעקה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המשיכו הפורעים ליידות אבנים רבות לעבר הרכב ויושביו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לפתוח את דלתות הרכב ולתקוף את יושבי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רץ</w:t>
      </w:r>
      <w:r>
        <w:rPr>
          <w:rFonts w:ascii="David" w:hAnsi="David"/>
          <w:rtl w:val="true"/>
        </w:rPr>
        <w:t xml:space="preserve"> לעבר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דלת הנהג פתוחה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ובעט בא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פורעים נוספים פותחים דלתות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תוקפים את כל יושבי הרכב ומיידים אבנים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 יצא מוחמד קבאג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מוחמד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מרכב אחר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הרים אבן מהרצפה ויידה אותה לעבר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בעת שישב במושב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כשהדלת פתוחה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ממרחק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Fonts w:ascii="David" w:hAnsi="David"/>
          <w:rtl w:val="true"/>
        </w:rPr>
        <w:t>מייד אחר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הרים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אבן גדולה בגודל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 בשתי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בריצה לעבר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וזרק את האבן ביד אחת לתוך המושב האחורי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של פחות ממטר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אז הרים מוחמד אבן נוספת ויידה גם אותה לעבר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במושב הנהג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כשדלת הנהג פתוחה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של כמטר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איברהים סלאימה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איברהים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בעודו אוחז תרסיס גז פלפל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ריסס </w:t>
      </w:r>
      <w:r>
        <w:rPr>
          <w:rFonts w:ascii="David" w:hAnsi="David"/>
          <w:rtl w:val="true"/>
        </w:rPr>
        <w:t xml:space="preserve">גז פלפל </w:t>
      </w:r>
      <w:r>
        <w:rPr>
          <w:rFonts w:ascii="David" w:hAnsi="David"/>
          <w:rtl w:val="true"/>
        </w:rPr>
        <w:t>לתוך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חלון המושב הקדמי ימני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 סנטימטרים ספורים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מתוך מניע לאומני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בכוונה לפגוע בצוותא חדא ביושבי הרכב ולגרום להם חבלה חמורה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השוטר אמיר בן קיקי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שהבחין בנעשה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בריצה וירה בנשקו שלוש יריות באוויר כדי להרחיק את הפורעים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והפורעים האחרים התרחקו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אחד הפורעים יידה אבן נוספת לעבר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פגעה 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כתוצאה ממעשיו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הפורעים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למתלוננים החבלות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נגרם חתך בקרקפת באורך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והמטומה ברגל ימין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נזקק לטיפול רפואי של הנחת סיכות בהרדמה מקומית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לברק נגרמו חתך בשפה העליונה וכאבים ברגל ימין ולרועי נגרמו כאבים וכן צריבה בעיניים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בידיים ובחזה כתוצאה מגז פלפל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נגרמו לרכב הנזקים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שלושה חלונות שבורים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נזקי פח ושברים במסגרת החלון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uppressLineNumbers/>
        <w:ind w:start="360" w:end="0"/>
        <w:jc w:val="both"/>
        <w:rPr>
          <w:rFonts w:ascii="David" w:hAnsi="David" w:cs="David"/>
        </w:rPr>
      </w:pPr>
      <w:r>
        <w:rPr>
          <w:rFonts w:cs="David"/>
          <w:rtl w:val="true"/>
        </w:rPr>
      </w:r>
    </w:p>
    <w:p>
      <w:pPr>
        <w:pStyle w:val="ListParagraph"/>
        <w:suppressLineNumbers/>
        <w:ind w:start="360" w:end="0"/>
        <w:jc w:val="both"/>
        <w:rPr/>
      </w:pPr>
      <w:r>
        <w:rPr>
          <w:rtl w:val="true"/>
        </w:rPr>
        <w:t>במעשיו האמורים</w:t>
      </w:r>
      <w:r>
        <w:rPr>
          <w:rtl w:val="true"/>
        </w:rPr>
        <w:t xml:space="preserve">, </w:t>
      </w:r>
      <w:r>
        <w:rPr>
          <w:rtl w:val="true"/>
        </w:rPr>
        <w:t>פצע הנאשם את המתלוננים</w:t>
      </w:r>
      <w:r>
        <w:rPr>
          <w:rtl w:val="true"/>
        </w:rPr>
        <w:t xml:space="preserve">, </w:t>
      </w:r>
      <w:r>
        <w:rPr>
          <w:rtl w:val="true"/>
        </w:rPr>
        <w:t>בצוותא חדא עם אחרים</w:t>
      </w:r>
      <w:r>
        <w:rPr>
          <w:rtl w:val="true"/>
        </w:rPr>
        <w:t xml:space="preserve">, </w:t>
      </w:r>
      <w:r>
        <w:rPr>
          <w:rtl w:val="true"/>
        </w:rPr>
        <w:t>בכוונה להטיל נכות או מום או לגרום חבלה חמורה</w:t>
      </w:r>
      <w:r>
        <w:rPr>
          <w:rtl w:val="true"/>
        </w:rPr>
        <w:t xml:space="preserve">, </w:t>
      </w:r>
      <w:r>
        <w:rPr>
          <w:rtl w:val="true"/>
        </w:rPr>
        <w:t>והכל מתוך מניע לאומני – אידיאולוגי</w:t>
      </w:r>
      <w:r>
        <w:rPr>
          <w:rtl w:val="true"/>
        </w:rPr>
        <w:t xml:space="preserve">, </w:t>
      </w:r>
      <w:r>
        <w:rPr>
          <w:rtl w:val="true"/>
        </w:rPr>
        <w:t>במטרה לעורר פחד או בהלה בציבור</w:t>
      </w:r>
      <w:r>
        <w:rPr>
          <w:rtl w:val="true"/>
        </w:rPr>
        <w:t xml:space="preserve">. </w:t>
      </w:r>
      <w:r>
        <w:rPr>
          <w:rtl w:val="true"/>
        </w:rPr>
        <w:t>במעשה היה סיכון ממשי לפגיעה חמורה בגופו של אדם או ברכושו</w:t>
      </w:r>
      <w:r>
        <w:rPr>
          <w:rtl w:val="true"/>
        </w:rPr>
        <w:t xml:space="preserve">. </w:t>
      </w:r>
      <w:r>
        <w:rPr>
          <w:rtl w:val="true"/>
        </w:rPr>
        <w:t>כמו כן הרס הנאשם ופגע במזיד ברכב</w:t>
      </w:r>
      <w:r>
        <w:rPr>
          <w:rtl w:val="true"/>
        </w:rPr>
        <w:t xml:space="preserve">, </w:t>
      </w:r>
      <w:r>
        <w:rPr>
          <w:rtl w:val="true"/>
        </w:rPr>
        <w:t>בצוותא חדא</w:t>
      </w:r>
      <w:r>
        <w:rPr>
          <w:rtl w:val="true"/>
        </w:rPr>
        <w:t xml:space="preserve">, </w:t>
      </w:r>
      <w:r>
        <w:rPr>
          <w:rtl w:val="true"/>
        </w:rPr>
        <w:t>מתוך מניע לאומני</w:t>
      </w:r>
      <w:r>
        <w:rPr>
          <w:rtl w:val="true"/>
        </w:rPr>
        <w:t>.</w:t>
      </w:r>
    </w:p>
    <w:p>
      <w:pPr>
        <w:pStyle w:val="ListParagraph"/>
        <w:suppressLineNumbers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בעניינו של הנאשם הוגש תסקיר שירות מבחן ביום </w:t>
      </w:r>
      <w:r>
        <w:rPr>
          <w:rFonts w:cs="David" w:ascii="David" w:hAnsi="David"/>
        </w:rPr>
        <w:t>12.5.24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רווק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בבית הוריו בשכונת ראס אל עמוד בירושלים בתנאי מעצר בית בפיקוח אלקטרוני מזה כחצי שנה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מעצרו עבד עם אביו בתחום האינסטלציה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תיאר את משפחתו כנורמטיבית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תומכת ושוללת הפרת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uppressLineNumbers/>
        <w:ind w:hanging="360" w:start="360" w:end="0"/>
        <w:jc w:val="both"/>
        <w:rPr/>
      </w:pPr>
      <w:r>
        <w:rPr>
          <w:rtl w:val="true"/>
        </w:rPr>
        <w:t>כמו כן תיאר הנאשם התנהלות תקינה של מהלך חייו</w:t>
      </w:r>
      <w:r>
        <w:rPr>
          <w:rtl w:val="true"/>
        </w:rPr>
        <w:t xml:space="preserve">, </w:t>
      </w:r>
      <w:r>
        <w:rPr>
          <w:rtl w:val="true"/>
        </w:rPr>
        <w:t>תוך שלילת אירועים חריגים</w:t>
      </w:r>
      <w:r>
        <w:rPr>
          <w:rtl w:val="true"/>
        </w:rPr>
        <w:t xml:space="preserve">, </w:t>
      </w:r>
      <w:r>
        <w:rPr>
          <w:rtl w:val="true"/>
        </w:rPr>
        <w:t>בהם קשיים לימודיים או התנהגותיים</w:t>
      </w:r>
      <w:r>
        <w:rPr>
          <w:rtl w:val="true"/>
        </w:rPr>
        <w:t xml:space="preserve">. </w:t>
      </w:r>
      <w:r>
        <w:rPr>
          <w:rtl w:val="true"/>
        </w:rPr>
        <w:t>הנאשם הפסיק את לימודיו בכיתה י</w:t>
      </w:r>
      <w:r>
        <w:rPr>
          <w:rtl w:val="true"/>
        </w:rPr>
        <w:t xml:space="preserve">', </w:t>
      </w:r>
      <w:r>
        <w:rPr>
          <w:rtl w:val="true"/>
        </w:rPr>
        <w:t>לדבריו בשל רצונו ללמוד מקצוע מעשי</w:t>
      </w:r>
      <w:r>
        <w:rPr>
          <w:rtl w:val="true"/>
        </w:rPr>
        <w:t xml:space="preserve">, </w:t>
      </w:r>
      <w:r>
        <w:rPr>
          <w:rtl w:val="true"/>
        </w:rPr>
        <w:t>ועבד עם אביו בתחום האינסטלציה ממועד הפסקת לימודיו כאמור</w:t>
      </w:r>
      <w:r>
        <w:rPr>
          <w:rtl w:val="true"/>
        </w:rPr>
        <w:t xml:space="preserve">. </w:t>
      </w:r>
      <w:r>
        <w:rPr>
          <w:rtl w:val="true"/>
        </w:rPr>
        <w:t>בשל פציעתו במהלך האירוע מושא כתב האישום נזקק למספר ניתוחים והתמודד עם מגבלה פיזית</w:t>
      </w:r>
      <w:r>
        <w:rPr>
          <w:rtl w:val="true"/>
        </w:rPr>
        <w:t xml:space="preserve">. </w:t>
      </w:r>
      <w:r>
        <w:rPr>
          <w:rtl w:val="true"/>
        </w:rPr>
        <w:t>הנאשם ביטא רצון לניהול אורח חיים תקין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כעולה מגיליון רישומו הפלילי העדכני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הוגש נגד הנאשם כתב אישום במסגרת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57200-05-23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עבירות 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תקיפת שוטר והחזקת אגרופן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הכחיש את ביצוע העבירות מושא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כי הוא מקבל את הכרעת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זאת טען כי נעשה לו עוול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שלא היה מעורב באירוע באופן אקטיבי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שהה במקום באקראי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נפצע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טען כי ההאשמות נגדו הן האשמות שווא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 נזקקות טיפולית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מאישיות בלתי מגובשת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ומחוסר יכולת של הנאשם להתייחס לדפוסי ההתנהגות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החשיבה והרגש שליוו את הנאשם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מבטא תחושות עוול וקורבנות נוכח הרשעתו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 כי הוא מתקשה להכיר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מגלה אמפתיה כלפי נפגע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שלל עמדות אידיאולוגיות הנותנות לגיטימציה לפגיעה באחרים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מסיכון גבוה למעורבות נוספת בתחום האלימות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וממסוכנות גבוהה לאלימות חמורה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שירות המבחן לא בא בהמלצה שיקומית בעניינו של הנאשם והמליץ על ענישה מוחשית שתהווה גורם מרתיע ומציב גבול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מטעם המאשימה הוגש תסקיר נפגע עבירה שנערך בעניינו של 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שנהג ברכב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לשתי בנות פעוטות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מנהל אורח חיים 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לומד בישיבה ועובד בעבודות מזדמנות בגינון ושיפוצים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תיאר את תחושות חוסר האונים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 הישע וחרדת המוות שחווה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האלימות הקשה והאכזריות שהופנו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הכנה מראש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וללא יכולת להתגונן מפניהן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נפגעה תחושת הביטחון האישי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תחושת השליטה על חייו ואמונתו בעולם כמקום טוב ומוגן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חרדה מפגיעה נוספת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ביכולתו לביצוע מטלות יום יומיות ולהתרכז בלימודיו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תיאר עוד קשיי 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חוסר שקט ודריכות תמידית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הימנעות מחשיפה לסיכון באמצעות צמצום מרחב פעילותו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שיתף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למשך חודשים מספר לאחר האירוע קיבל טיפול פסיכולוגי אך לא המשיך בכך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 כי ההשלכות הרגשיות והנפשיות של הפגיעה ב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ארוכות טווח ועמוקות</w:t>
      </w:r>
      <w:r>
        <w:rPr>
          <w:rFonts w:ascii="David" w:hAnsi="David"/>
          <w:rtl w:val="true"/>
        </w:rPr>
        <w:t xml:space="preserve"> והמליץ על הטלת פיצוי כספי משמעותי לטובתו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6"/>
        </w:numPr>
        <w:suppressLineNumbers/>
        <w:spacing w:lineRule="auto" w:line="360" w:before="0" w:after="0"/>
        <w:ind w:hanging="283" w:start="283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מטעם הנאשם הוגשו מסמכים רפואיים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המתעדים את מצבו הרפואי בעטייה של פציעתו במהלך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עיקר טענות הצדדים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לינץ</w:t>
      </w:r>
      <w:r>
        <w:rPr>
          <w:rtl w:val="true"/>
        </w:rPr>
        <w:t xml:space="preserve">'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הפורעים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המנופצת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ריססו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פלפל</w:t>
      </w:r>
      <w:r>
        <w:rPr>
          <w:rtl w:val="true"/>
        </w:rPr>
        <w:t xml:space="preserve">, </w:t>
      </w:r>
      <w:r>
        <w:rPr>
          <w:rtl w:val="true"/>
        </w:rPr>
        <w:t>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כברווזים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במטווח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בטראומה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שנגרמה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0"/>
        <w:ind w:hanging="283" w:start="283" w:end="0"/>
        <w:contextualSpacing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האגרסיבית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בודדות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ביקורים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uppressLineNumbers/>
        <w:spacing w:lineRule="auto" w:line="360" w:before="0" w:after="0"/>
        <w:ind w:start="283" w:end="0"/>
        <w:contextualSpacing/>
        <w:jc w:val="both"/>
        <w:rPr>
          <w:u w:val="single"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900,000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72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דברו האחרון של הנאשם</w:t>
      </w:r>
    </w:p>
    <w:p>
      <w:pPr>
        <w:pStyle w:val="ListParagraph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6"/>
        </w:numPr>
        <w:suppressLineNumbers/>
        <w:ind w:hanging="360" w:start="360" w:end="0"/>
        <w:jc w:val="both"/>
        <w:rPr>
          <w:u w:val="single"/>
        </w:rPr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 האחרון לעונש</w:t>
      </w:r>
      <w:r>
        <w:rPr>
          <w:rtl w:val="true"/>
        </w:rPr>
        <w:t xml:space="preserve">, </w:t>
      </w:r>
      <w:r>
        <w:rPr>
          <w:rtl w:val="true"/>
        </w:rPr>
        <w:t xml:space="preserve">אמר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18-19</w:t>
      </w:r>
      <w:r>
        <w:rPr>
          <w:rtl w:val="true"/>
        </w:rPr>
        <w:t>):</w:t>
      </w:r>
    </w:p>
    <w:p>
      <w:pPr>
        <w:pStyle w:val="ListParagraph"/>
        <w:suppressLineNumbers/>
        <w:ind w:start="36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suppressLineNumbers/>
        <w:ind w:end="0"/>
        <w:jc w:val="both"/>
        <w:rPr>
          <w:u w:val="single"/>
        </w:rPr>
      </w:pPr>
      <w:r>
        <w:rPr>
          <w:rtl w:val="true"/>
        </w:rPr>
        <w:t>"</w:t>
      </w:r>
      <w:r>
        <w:rPr>
          <w:rtl w:val="true"/>
        </w:rPr>
        <w:t>אני מבקש שביהמ</w:t>
      </w:r>
      <w:r>
        <w:rPr>
          <w:rtl w:val="true"/>
        </w:rPr>
        <w:t>"</w:t>
      </w:r>
      <w:r>
        <w:rPr>
          <w:rtl w:val="true"/>
        </w:rPr>
        <w:t>ש יתחשב במצב שלי אני רוצה להמשיך את הטיפול שלי</w:t>
      </w:r>
      <w:r>
        <w:rPr>
          <w:rtl w:val="true"/>
        </w:rPr>
        <w:t xml:space="preserve">. </w:t>
      </w:r>
      <w:r>
        <w:rPr>
          <w:rtl w:val="true"/>
        </w:rPr>
        <w:t>אני סובל מהרגל שלי</w:t>
      </w:r>
      <w:r>
        <w:rPr>
          <w:rtl w:val="true"/>
        </w:rPr>
        <w:t xml:space="preserve">, </w:t>
      </w:r>
      <w:r>
        <w:rPr>
          <w:rtl w:val="true"/>
        </w:rPr>
        <w:t>אני לא עשיתי כלום</w:t>
      </w:r>
      <w:r>
        <w:rPr>
          <w:rtl w:val="true"/>
        </w:rPr>
        <w:t>".</w:t>
      </w:r>
    </w:p>
    <w:p>
      <w:pPr>
        <w:pStyle w:val="ListParagraph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 מתחם העונש ההולם</w:t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tl w:val="true"/>
        </w:rPr>
        <w:t xml:space="preserve">בהתאם להוראות </w:t>
      </w:r>
      <w:hyperlink r:id="rId2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ג</w:t>
        </w:r>
      </w:hyperlink>
      <w:r>
        <w:rPr>
          <w:rtl w:val="true"/>
        </w:rPr>
        <w:t xml:space="preserve"> יחד עם סעיף </w:t>
      </w:r>
      <w:hyperlink r:id="rId22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בעת גזירת עונשו של הנאשם על בית המשפט לקבוע תחילה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ולאחר מכן לגזור את עונשו של הנאשם בתוך מתחם העונש ההולם</w:t>
      </w:r>
      <w:r>
        <w:rPr>
          <w:rtl w:val="true"/>
        </w:rPr>
        <w:t xml:space="preserve">. </w:t>
      </w:r>
      <w:r>
        <w:rPr>
          <w:rtl w:val="true"/>
        </w:rPr>
        <w:t>מתחם העונש ההולם ייקבע בהתאם לעיקרון המנחה בענישה – הוא עיקרון ההלימה – תוך התחשבות בערך החברתי שנפגע מביצוע העבירות ובמידת הפגיעה בו</w:t>
      </w:r>
      <w:r>
        <w:rPr>
          <w:rtl w:val="true"/>
        </w:rPr>
        <w:t xml:space="preserve">, </w:t>
      </w:r>
      <w:r>
        <w:rPr>
          <w:rtl w:val="true"/>
        </w:rPr>
        <w:t xml:space="preserve">במדיניות הענישה הנהוגה ובנסיבות הקשורות בביצוע העבירות המפורטות בהוראות </w:t>
      </w:r>
      <w:hyperlink r:id="rId24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ט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tl w:val="true"/>
        </w:rPr>
        <w:t xml:space="preserve">מעשיו של הנאשם </w:t>
      </w:r>
      <w:r>
        <w:rPr>
          <w:rtl w:val="true"/>
        </w:rPr>
        <w:t>מציבים</w:t>
      </w:r>
      <w:r>
        <w:rPr>
          <w:rtl w:val="true"/>
        </w:rPr>
        <w:t xml:space="preserve"> סכנה ישירה וממשית לחיי אדם</w:t>
      </w:r>
      <w:r>
        <w:rPr>
          <w:rtl w:val="true"/>
        </w:rPr>
        <w:t xml:space="preserve">, </w:t>
      </w:r>
      <w:r>
        <w:rPr>
          <w:rtl w:val="true"/>
        </w:rPr>
        <w:t>פוגעים</w:t>
      </w:r>
      <w:r>
        <w:rPr>
          <w:rtl w:val="true"/>
        </w:rPr>
        <w:t xml:space="preserve"> בערכים החברתיים של הגנה על שלום הפרט ובטחונו</w:t>
      </w:r>
      <w:r>
        <w:rPr>
          <w:rtl w:val="true"/>
        </w:rPr>
        <w:t xml:space="preserve">, </w:t>
      </w:r>
      <w:r>
        <w:rPr>
          <w:rtl w:val="true"/>
        </w:rPr>
        <w:t>הגנה על שלמות הגוף</w:t>
      </w:r>
      <w:r>
        <w:rPr>
          <w:rtl w:val="true"/>
        </w:rPr>
        <w:t xml:space="preserve">, </w:t>
      </w:r>
      <w:r>
        <w:rPr>
          <w:rtl w:val="true"/>
        </w:rPr>
        <w:t>וכן של הגנה על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שמירה על הסדר הציבורי ועל שלטון החוק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Fonts w:ascii="Tahoma" w:hAnsi="Tahoma" w:cs="Tahoma"/>
          <w:rtl w:val="true"/>
        </w:rPr>
        <w:t>זריית תחושת חוסר ביטחון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אימה ופחד בקרב הקורב</w:t>
      </w:r>
      <w:r>
        <w:rPr>
          <w:rFonts w:ascii="Tahoma" w:hAnsi="Tahoma" w:cs="Tahoma"/>
          <w:rtl w:val="true"/>
        </w:rPr>
        <w:t>נות</w:t>
      </w:r>
      <w:r>
        <w:rPr>
          <w:rFonts w:ascii="Tahoma" w:hAnsi="Tahoma" w:cs="Tahoma"/>
          <w:rtl w:val="true"/>
        </w:rPr>
        <w:t xml:space="preserve"> והציבור – מערערת את יסודות קיומה של החברה הישראלית ומסכנת את מרקם החיים בארץ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>הפסיקה עמדה על הצורך בענישה הולמת ומרתיעה בעבירות התפרעות המונים</w:t>
      </w:r>
      <w:r>
        <w:rPr>
          <w:rtl w:val="true"/>
        </w:rPr>
        <w:t xml:space="preserve">, </w:t>
      </w:r>
      <w:r>
        <w:rPr>
          <w:rtl w:val="true"/>
        </w:rPr>
        <w:t>שביסודן מניע לאומני</w:t>
      </w:r>
      <w:r>
        <w:rPr>
          <w:rtl w:val="true"/>
        </w:rPr>
        <w:t xml:space="preserve">, </w:t>
      </w:r>
      <w:r>
        <w:rPr>
          <w:rtl w:val="true"/>
        </w:rPr>
        <w:t>כלפי אנשים תמימים</w:t>
      </w:r>
      <w:r>
        <w:rPr>
          <w:rtl w:val="true"/>
        </w:rPr>
        <w:t xml:space="preserve">, </w:t>
      </w:r>
      <w:r>
        <w:rPr>
          <w:rtl w:val="true"/>
        </w:rPr>
        <w:t>שכל חטאם הוא יהדותם</w:t>
      </w:r>
      <w:r>
        <w:rPr>
          <w:rtl w:val="true"/>
        </w:rPr>
        <w:t xml:space="preserve">. </w:t>
      </w:r>
      <w:r>
        <w:rPr>
          <w:rtl w:val="true"/>
        </w:rPr>
        <w:t>התפרעויות אלה זורות אימה וחרדה בציבור ומערערות את יסודות שלטון החוק וגורמי האכיפה</w:t>
      </w:r>
      <w:r>
        <w:rPr>
          <w:rtl w:val="true"/>
        </w:rPr>
        <w:t xml:space="preserve">. </w:t>
      </w:r>
      <w:r>
        <w:rPr>
          <w:rtl w:val="true"/>
        </w:rPr>
        <w:t>פוטנציאל ההסלמה הגלום בהתפרעויות עצום</w:t>
      </w:r>
      <w:r>
        <w:rPr>
          <w:rtl w:val="true"/>
        </w:rPr>
        <w:t xml:space="preserve">, </w:t>
      </w:r>
      <w:r>
        <w:rPr>
          <w:rtl w:val="true"/>
        </w:rPr>
        <w:t>והן עשויות להסב נזק כבד לרכוש ולחיי אדם</w:t>
      </w:r>
      <w:r>
        <w:rPr>
          <w:rtl w:val="true"/>
        </w:rPr>
        <w:t xml:space="preserve">, </w:t>
      </w:r>
      <w:r>
        <w:rPr>
          <w:rtl w:val="true"/>
        </w:rPr>
        <w:t xml:space="preserve">ועל כן יש להשית ענישה מכבידה </w:t>
      </w:r>
      <w:r>
        <w:rPr>
          <w:rFonts w:cs="Times New Roman" w:ascii="Times New Roman" w:hAnsi="Times New Roman"/>
          <w:rtl w:val="true"/>
        </w:rPr>
        <w:t>(</w:t>
      </w:r>
      <w:hyperlink r:id="rId2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4585/22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25.7.2022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2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2285/05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מדינת ישראל נ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חמד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5.12.2005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2285/05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i/>
          <w:i/>
          <w:iCs/>
          <w:rtl w:val="true"/>
        </w:rPr>
        <w:t>מדינת ישראל נ</w:t>
      </w:r>
      <w:r>
        <w:rPr>
          <w:rFonts w:cs="Times New Roman" w:ascii="Times New Roman" w:hAnsi="Times New Roman"/>
          <w:i/>
          <w:iCs/>
          <w:rtl w:val="true"/>
        </w:rPr>
        <w:t xml:space="preserve">' </w:t>
      </w:r>
      <w:r>
        <w:rPr>
          <w:rFonts w:ascii="Times New Roman" w:hAnsi="Times New Roman" w:cs="Times New Roman"/>
          <w:i/>
          <w:i/>
          <w:iCs/>
          <w:rtl w:val="true"/>
        </w:rPr>
        <w:t>חמד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5.12.2005</w:t>
      </w:r>
      <w:r>
        <w:rPr>
          <w:rFonts w:cs="Times New Roman" w:ascii="Times New Roman" w:hAnsi="Times New Roman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2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901/22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אסווד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פסק</w:t>
      </w:r>
      <w:r>
        <w:rPr>
          <w:rFonts w:ascii="Times New Roman" w:hAnsi="Times New Roman" w:cs="Times New Roman"/>
          <w:rtl w:val="true"/>
        </w:rPr>
        <w:t>אות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Times New Roman" w:ascii="Times New Roman" w:hAnsi="Times New Roman"/>
        </w:rPr>
        <w:t>10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24.02.2022</w:t>
      </w:r>
      <w:r>
        <w:rPr>
          <w:rFonts w:cs="Tahoma" w:ascii="Tahoma" w:hAnsi="Tahoma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; </w:t>
      </w:r>
      <w:hyperlink r:id="rId30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3982/22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i/>
          <w:i/>
          <w:iCs/>
          <w:rtl w:val="true"/>
        </w:rPr>
        <w:t>מדינת</w:t>
      </w:r>
      <w:r>
        <w:rPr>
          <w:rFonts w:ascii="Times New Roman" w:hAnsi="Times New Roman" w:cs="Times New Roman"/>
          <w:i/>
          <w:i/>
          <w:iCs/>
          <w:rtl w:val="true"/>
        </w:rPr>
        <w:t xml:space="preserve"> </w:t>
      </w:r>
      <w:r>
        <w:rPr>
          <w:rFonts w:ascii="Times New Roman" w:hAnsi="Times New Roman" w:cs="Times New Roman"/>
          <w:i/>
          <w:i/>
          <w:iCs/>
          <w:rtl w:val="true"/>
        </w:rPr>
        <w:t>ישראל נ</w:t>
      </w:r>
      <w:r>
        <w:rPr>
          <w:rFonts w:cs="Times New Roman" w:ascii="Times New Roman" w:hAnsi="Times New Roman"/>
          <w:i/>
          <w:iCs/>
          <w:rtl w:val="true"/>
        </w:rPr>
        <w:t xml:space="preserve">' </w:t>
      </w:r>
      <w:r>
        <w:rPr>
          <w:rFonts w:ascii="Times New Roman" w:hAnsi="Times New Roman" w:cs="Times New Roman"/>
          <w:i/>
          <w:i/>
          <w:iCs/>
          <w:rtl w:val="true"/>
        </w:rPr>
        <w:t>חג</w:t>
      </w:r>
      <w:r>
        <w:rPr>
          <w:rFonts w:cs="Times New Roman" w:ascii="Times New Roman" w:hAnsi="Times New Roman"/>
          <w:i/>
          <w:iCs/>
          <w:rtl w:val="true"/>
        </w:rPr>
        <w:t>'</w:t>
      </w:r>
      <w:r>
        <w:rPr>
          <w:rFonts w:ascii="Times New Roman" w:hAnsi="Times New Roman" w:cs="Times New Roman"/>
          <w:i/>
          <w:i/>
          <w:iCs/>
          <w:rtl w:val="true"/>
        </w:rPr>
        <w:t>וג</w:t>
      </w:r>
      <w:r>
        <w:rPr>
          <w:rFonts w:cs="Times New Roman" w:ascii="Times New Roman" w:hAnsi="Times New Roman"/>
          <w:i/>
          <w:iCs/>
          <w:rtl w:val="true"/>
        </w:rPr>
        <w:t>'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27.10.2022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 </w:t>
      </w:r>
      <w:hyperlink r:id="rId31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5633/22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i/>
          <w:i/>
          <w:iCs/>
          <w:rtl w:val="true"/>
        </w:rPr>
        <w:t>סאלח אל דין נ</w:t>
      </w:r>
      <w:r>
        <w:rPr>
          <w:rFonts w:cs="Times New Roman" w:ascii="Times New Roman" w:hAnsi="Times New Roman"/>
          <w:i/>
          <w:iCs/>
          <w:rtl w:val="true"/>
        </w:rPr>
        <w:t xml:space="preserve">' </w:t>
      </w:r>
      <w:r>
        <w:rPr>
          <w:rFonts w:ascii="Times New Roman" w:hAnsi="Times New Roman" w:cs="Times New Roman"/>
          <w:i/>
          <w:i/>
          <w:iCs/>
          <w:rtl w:val="true"/>
        </w:rPr>
        <w:t>מדינת 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פסקה 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28.11.2022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ListParagraph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חומרה יתירה יש לייחס לעבירות שביסודן מניע לאומני – אידאולוגי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מעשי תוקפנות ועבריינות המונעים ממניעים אלה מחייבים את דחייתם של שיקולי ענישה אחרים</w:t>
      </w:r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מפני הצורך בהרתעת היחיד והרבים ובהגנה על הציבור </w:t>
      </w:r>
      <w:r>
        <w:rPr>
          <w:rFonts w:cs="Tahoma" w:ascii="Tahoma" w:hAnsi="Tahoma"/>
          <w:rtl w:val="true"/>
        </w:rPr>
        <w:t>(</w:t>
      </w:r>
      <w:hyperlink r:id="rId3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1116/21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דיאאלדין בדר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i/>
          <w:iCs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i/>
          <w:iCs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30.06.2021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 xml:space="preserve">זאת גם במקום בו העבריין הוא קטין </w:t>
      </w:r>
      <w:r>
        <w:rPr>
          <w:rFonts w:cs="Tahoma" w:ascii="Tahoma" w:hAnsi="Tahoma"/>
          <w:rtl w:val="true"/>
        </w:rPr>
        <w:t>(</w:t>
      </w:r>
      <w:hyperlink r:id="rId33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2906/19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פלוני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i/>
          <w:iCs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12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14.07.2019</w:t>
      </w:r>
      <w:r>
        <w:rPr>
          <w:rFonts w:cs="Tahoma" w:ascii="Tahoma" w:hAnsi="Tahoma"/>
          <w:rtl w:val="true"/>
        </w:rPr>
        <w:t xml:space="preserve">); </w:t>
      </w:r>
      <w:hyperlink r:id="rId3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3450/16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פלוני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7.8.2016</w:t>
      </w:r>
      <w:r>
        <w:rPr>
          <w:rFonts w:cs="Tahoma" w:ascii="Tahoma" w:hAnsi="Tahoma"/>
          <w:rtl w:val="true"/>
        </w:rPr>
        <w:t xml:space="preserve">); </w:t>
      </w:r>
      <w:hyperlink r:id="rId3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5469/13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פלוני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יז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13.04.2014</w:t>
      </w:r>
      <w:r>
        <w:rPr>
          <w:rFonts w:cs="Tahoma" w:ascii="Tahoma" w:hAnsi="Tahoma"/>
          <w:rtl w:val="true"/>
        </w:rPr>
        <w:t>)).</w:t>
      </w:r>
    </w:p>
    <w:p>
      <w:pPr>
        <w:pStyle w:val="ListParagraph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Fonts w:ascii="Tahoma" w:hAnsi="Tahoma" w:cs="Tahoma"/>
          <w:rtl w:val="true"/>
        </w:rPr>
        <w:t>הוראות חוק המאבק בטרור מחייבות בהחמרה בענישה בעבירות על חוק זה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בעניינה של עבירת מעשה טרור של חבלה בכוונה מחמירה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 הורשע הנאשם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חל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כפל עונש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 xml:space="preserve">עד לרף עליון של </w:t>
      </w:r>
      <w:r>
        <w:rPr>
          <w:rFonts w:cs="Tahoma" w:ascii="Tahoma" w:hAnsi="Tahoma"/>
        </w:rPr>
        <w:t>25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</w:t>
      </w:r>
      <w:r>
        <w:rPr>
          <w:rFonts w:ascii="Tahoma" w:hAnsi="Tahoma" w:cs="Tahoma"/>
          <w:rtl w:val="true"/>
        </w:rPr>
        <w:t>ות מאסר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בהתאם להוראת </w:t>
      </w:r>
      <w:hyperlink r:id="rId36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37</w:t>
        </w:r>
        <w:r>
          <w:rPr>
            <w:rStyle w:val="Hyperlink"/>
            <w:rFonts w:cs="Tahoma" w:ascii="Tahoma" w:hAnsi="Tahoma"/>
            <w:color w:val="0000FF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rtl w:val="true"/>
          </w:rPr>
          <w:t>א</w:t>
        </w:r>
        <w:r>
          <w:rPr>
            <w:rStyle w:val="Hyperlink"/>
            <w:rFonts w:cs="Tahoma" w:ascii="Tahoma" w:hAnsi="Tahoma"/>
            <w:color w:val="0000FF"/>
            <w:rtl w:val="true"/>
          </w:rPr>
          <w:t>)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לחוק המאבק בטרור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בעצם היות העבירות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מעשה טרור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כהגדרתו בחוק המאבק בטרור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יש כדי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נסיבה מחמירה אינהרנטית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כך שמתחייב מתן דגש מיוחד לתכלית ההרתעה בענישה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למניעה ולעיקרון הגמול  </w:t>
      </w:r>
      <w:r>
        <w:rPr>
          <w:rFonts w:cs="Tahoma" w:ascii="Tahoma" w:hAnsi="Tahoma"/>
          <w:rtl w:val="true"/>
        </w:rPr>
        <w:t>(</w:t>
      </w:r>
      <w:hyperlink r:id="rId3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1382/19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אבו ח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ascii="Tahoma" w:hAnsi="Tahoma" w:cs="Tahoma"/>
          <w:i/>
          <w:i/>
          <w:iCs/>
          <w:rtl w:val="true"/>
        </w:rPr>
        <w:t>דיר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מדינת ישראל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7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22.1.2020</w:t>
      </w:r>
      <w:r>
        <w:rPr>
          <w:rFonts w:cs="Tahoma" w:ascii="Tahoma" w:hAnsi="Tahoma"/>
          <w:rtl w:val="true"/>
        </w:rPr>
        <w:t xml:space="preserve">); </w:t>
      </w:r>
      <w:hyperlink r:id="rId38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1466/20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פלוני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פסקאות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rtl w:val="true"/>
        </w:rPr>
        <w:t xml:space="preserve"> – </w:t>
      </w: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 xml:space="preserve"> (</w:t>
      </w:r>
      <w:r>
        <w:rPr>
          <w:rFonts w:cs="Tahoma" w:ascii="Tahoma" w:hAnsi="Tahoma"/>
        </w:rPr>
        <w:t>22.07.2020</w:t>
      </w:r>
      <w:r>
        <w:rPr>
          <w:rFonts w:cs="Tahoma" w:ascii="Tahoma" w:hAnsi="Tahoma"/>
          <w:rtl w:val="true"/>
        </w:rPr>
        <w:t xml:space="preserve">); </w:t>
      </w:r>
      <w:hyperlink r:id="rId3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8114/22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ראזם</w:t>
      </w:r>
      <w:r>
        <w:rPr>
          <w:rFonts w:ascii="Tahoma" w:hAnsi="Tahoma" w:cs="Tahoma"/>
          <w:rtl w:val="true"/>
        </w:rPr>
        <w:t xml:space="preserve">  </w:t>
      </w:r>
      <w:r>
        <w:rPr>
          <w:rFonts w:cs="Tahoma" w:ascii="Tahoma" w:hAnsi="Tahoma"/>
          <w:rtl w:val="true"/>
        </w:rPr>
        <w:t>(</w:t>
      </w:r>
      <w:r>
        <w:rPr>
          <w:rFonts w:cs="Tahoma" w:ascii="Tahoma" w:hAnsi="Tahoma"/>
        </w:rPr>
        <w:t>30.01.2023</w:t>
      </w:r>
      <w:r>
        <w:rPr>
          <w:rFonts w:cs="Tahoma" w:ascii="Tahoma" w:hAnsi="Tahoma"/>
          <w:rtl w:val="true"/>
        </w:rPr>
        <w:t>)).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Fonts w:ascii="Tahoma" w:hAnsi="Tahoma" w:cs="Tahoma"/>
          <w:rtl w:val="true"/>
        </w:rPr>
        <w:t xml:space="preserve">הנאשם הורשע בנוסף בחבלה ברכב ממניע גזעני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עבירה לפי </w:t>
      </w:r>
      <w:hyperlink r:id="rId40">
        <w:r>
          <w:rPr>
            <w:rStyle w:val="Hyperlink"/>
            <w:rFonts w:ascii="Tahoma" w:hAnsi="Tahoma" w:cs="Tahoma"/>
            <w:color w:val="0000FF"/>
            <w:rtl w:val="true"/>
          </w:rPr>
          <w:t>סעיף</w:t>
        </w:r>
        <w:r>
          <w:rPr>
            <w:rStyle w:val="Hyperlink"/>
            <w:rFonts w:ascii="Tahoma" w:hAnsi="Tahoma" w:cs="Tahoma"/>
            <w:color w:val="0000FF"/>
            <w:rtl w:val="true"/>
          </w:rPr>
          <w:t xml:space="preserve"> </w:t>
        </w:r>
        <w:r>
          <w:rPr>
            <w:rStyle w:val="Hyperlink"/>
            <w:rFonts w:cs="Tahoma" w:ascii="Tahoma" w:hAnsi="Tahoma"/>
            <w:color w:val="0000FF"/>
          </w:rPr>
          <w:t>413</w:t>
        </w:r>
        <w:r>
          <w:rPr>
            <w:rStyle w:val="Hyperlink"/>
            <w:rFonts w:ascii="Tahoma" w:hAnsi="Tahoma" w:cs="Tahoma"/>
            <w:color w:val="0000FF"/>
            <w:rtl w:val="true"/>
          </w:rPr>
          <w:t>ה</w:t>
        </w:r>
      </w:hyperlink>
      <w:r>
        <w:rPr>
          <w:rFonts w:ascii="Tahoma" w:hAnsi="Tahoma" w:cs="Tahoma"/>
          <w:rtl w:val="true"/>
        </w:rPr>
        <w:t xml:space="preserve"> ל</w:t>
      </w:r>
      <w:hyperlink r:id="rId4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</w:t>
      </w:r>
      <w:hyperlink r:id="rId42">
        <w:r>
          <w:rPr>
            <w:rStyle w:val="Hyperlink"/>
            <w:rFonts w:ascii="Tahoma" w:hAnsi="Tahoma" w:cs="Tahoma"/>
            <w:color w:val="0000FF"/>
            <w:rtl w:val="true"/>
          </w:rPr>
          <w:t>וסעיף</w:t>
        </w:r>
        <w:r>
          <w:rPr>
            <w:rStyle w:val="Hyperlink"/>
            <w:rFonts w:ascii="Tahoma" w:hAnsi="Tahoma" w:cs="Tahoma"/>
            <w:color w:val="0000FF"/>
            <w:rtl w:val="true"/>
          </w:rPr>
          <w:t xml:space="preserve"> </w:t>
        </w:r>
        <w:r>
          <w:rPr>
            <w:rStyle w:val="Hyperlink"/>
            <w:rFonts w:cs="Tahoma" w:ascii="Tahoma" w:hAnsi="Tahoma"/>
            <w:color w:val="0000FF"/>
          </w:rPr>
          <w:t>144</w:t>
        </w:r>
        <w:r>
          <w:rPr>
            <w:rStyle w:val="Hyperlink"/>
            <w:rFonts w:ascii="Tahoma" w:hAnsi="Tahoma" w:cs="Tahoma"/>
            <w:color w:val="0000FF"/>
            <w:rtl w:val="true"/>
          </w:rPr>
          <w:t>ו</w:t>
        </w:r>
      </w:hyperlink>
      <w:r>
        <w:rPr>
          <w:rFonts w:ascii="Tahoma" w:hAnsi="Tahoma" w:cs="Tahoma"/>
          <w:rtl w:val="true"/>
        </w:rPr>
        <w:t xml:space="preserve"> לחוק העונשין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גם ב</w:t>
      </w:r>
      <w:r>
        <w:rPr>
          <w:rFonts w:ascii="Tahoma" w:hAnsi="Tahoma" w:cs="Tahoma"/>
          <w:rtl w:val="true"/>
        </w:rPr>
        <w:t xml:space="preserve">הוראת </w:t>
      </w:r>
      <w:hyperlink r:id="rId43">
        <w:r>
          <w:rPr>
            <w:rStyle w:val="Hyperlink"/>
            <w:rFonts w:ascii="Tahoma" w:hAnsi="Tahoma" w:cs="Tahoma"/>
            <w:color w:val="0000FF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  <w:color w:val="0000FF"/>
          </w:rPr>
          <w:t>144</w:t>
        </w:r>
        <w:r>
          <w:rPr>
            <w:rStyle w:val="Hyperlink"/>
            <w:rFonts w:ascii="Tahoma" w:hAnsi="Tahoma" w:cs="Tahoma"/>
            <w:color w:val="0000FF"/>
            <w:rtl w:val="true"/>
          </w:rPr>
          <w:t>ו</w:t>
        </w:r>
      </w:hyperlink>
      <w:r>
        <w:rPr>
          <w:rFonts w:ascii="Tahoma" w:hAnsi="Tahoma" w:cs="Tahoma"/>
          <w:rtl w:val="true"/>
        </w:rPr>
        <w:t xml:space="preserve"> ל</w:t>
      </w:r>
      <w:hyperlink r:id="rId4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</w:t>
      </w:r>
      <w:r>
        <w:rPr>
          <w:rFonts w:ascii="Tahoma" w:hAnsi="Tahoma" w:cs="Tahoma"/>
          <w:rtl w:val="true"/>
        </w:rPr>
        <w:t>נקבעה נסיבה מחמירה דומה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לגבי עבירות המבוצעות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מתוך מניע של גזענות</w:t>
      </w:r>
      <w:r>
        <w:rPr>
          <w:rFonts w:cs="Tahoma" w:ascii="Tahoma" w:hAnsi="Tahoma"/>
          <w:rtl w:val="true"/>
        </w:rPr>
        <w:t>"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וחל כפל עונש עד לרף עליון של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שנות מאסר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חומרה נעוצה גם בעיתוי ביצוע המעשים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במהלך חודש הרמדאן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2021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בתקופת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עת התרחשו בארץ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ובירושלים בפרט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התפרעויות ותק</w:t>
      </w:r>
      <w:r>
        <w:rPr>
          <w:rFonts w:ascii="Tahoma" w:hAnsi="Tahoma" w:cs="Tahoma"/>
          <w:rtl w:val="true"/>
        </w:rPr>
        <w:t>יפות רבות מתוך מניע גזעני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before="0" w:after="0"/>
        <w:ind w:start="360"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/>
      </w:pPr>
      <w:r>
        <w:rPr>
          <w:rFonts w:ascii="Arial" w:hAnsi="Arial" w:cs="Arial"/>
          <w:rtl w:val="true"/>
        </w:rPr>
        <w:t>נסיבות המקרה מלמדות על חומרת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תקף שלושה נפגעי העבירה</w:t>
      </w:r>
      <w:r>
        <w:rPr>
          <w:rFonts w:ascii="Arial" w:hAnsi="Arial" w:cs="Arial"/>
          <w:rtl w:val="true"/>
        </w:rPr>
        <w:t xml:space="preserve">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מעורבים נוספים</w:t>
      </w:r>
      <w:r>
        <w:rPr>
          <w:rFonts w:ascii="Arial" w:hAnsi="Arial" w:cs="Arial"/>
          <w:rtl w:val="true"/>
        </w:rPr>
        <w:t xml:space="preserve"> באירוע התפרעות ממושך וקשה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הפורעים רדפו אחר רכב נפגעי העבירה לאורך ציר התנועה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יידו אבנים וחפצים על הרכב ויושביו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ניפצו את השמשה האחורית של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בעטו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פתחו את דלתות הרכב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וריססו גז פלפל לתוך הרכב</w:t>
      </w:r>
      <w:r>
        <w:rPr>
          <w:rtl w:val="true"/>
        </w:rPr>
        <w:t xml:space="preserve">. </w:t>
      </w:r>
      <w:r>
        <w:rPr>
          <w:rtl w:val="true"/>
        </w:rPr>
        <w:t>ניסיונות נהג הרכב א</w:t>
      </w:r>
      <w:r>
        <w:rPr>
          <w:rtl w:val="true"/>
        </w:rPr>
        <w:t xml:space="preserve">' </w:t>
      </w:r>
      <w:r>
        <w:rPr>
          <w:rtl w:val="true"/>
        </w:rPr>
        <w:t>לחמוק מפגיעותיהם הרעות של הפורעים לא צלחו</w:t>
      </w:r>
      <w:r>
        <w:rPr>
          <w:rtl w:val="true"/>
        </w:rPr>
        <w:t xml:space="preserve">. </w:t>
      </w:r>
      <w:r>
        <w:rPr>
          <w:rtl w:val="true"/>
        </w:rPr>
        <w:t>הפורעים התמידו במעשיהם לא הרפו מתקיפתם גם כשנהג רכב נפגעי העבירה איבד שליטה ברכב</w:t>
      </w:r>
      <w:r>
        <w:rPr>
          <w:rtl w:val="true"/>
        </w:rPr>
        <w:t xml:space="preserve">, </w:t>
      </w:r>
      <w:r>
        <w:rPr>
          <w:rtl w:val="true"/>
        </w:rPr>
        <w:t xml:space="preserve">ואף לאחר שנתקבע על מעקה האבן המפריד בין המדרכה לכביש </w:t>
      </w:r>
      <w:r>
        <w:rPr>
          <w:rtl w:val="true"/>
        </w:rPr>
        <w:t>(</w:t>
      </w:r>
      <w:r>
        <w:rPr>
          <w:rtl w:val="true"/>
        </w:rPr>
        <w:t>אגב פגיעה בנאשם</w:t>
      </w:r>
      <w:r>
        <w:rPr>
          <w:rtl w:val="true"/>
        </w:rPr>
        <w:t xml:space="preserve">). </w:t>
      </w:r>
      <w:r>
        <w:rPr>
          <w:rtl w:val="true"/>
        </w:rPr>
        <w:t>בעוד הרכב תקוע על המעקה</w:t>
      </w:r>
      <w:r>
        <w:rPr>
          <w:rtl w:val="true"/>
        </w:rPr>
        <w:t xml:space="preserve">, </w:t>
      </w:r>
      <w:r>
        <w:rPr>
          <w:rtl w:val="true"/>
        </w:rPr>
        <w:t>המשיכו הפורעים ליידות אבנים רבות לעבר הרכב ויושביו</w:t>
      </w:r>
      <w:r>
        <w:rPr>
          <w:rtl w:val="true"/>
        </w:rPr>
        <w:t xml:space="preserve">, </w:t>
      </w:r>
      <w:r>
        <w:rPr>
          <w:rtl w:val="true"/>
        </w:rPr>
        <w:t>לפתוח את דלתות הרכב ולתקוף את יושבי הרכב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 הצטרף לפורעים בעיצומה של ההתפרעות</w:t>
      </w:r>
      <w:r>
        <w:rPr>
          <w:rtl w:val="true"/>
        </w:rPr>
        <w:t xml:space="preserve">, </w:t>
      </w:r>
      <w:r>
        <w:rPr>
          <w:rtl w:val="true"/>
        </w:rPr>
        <w:t>שהתחילה בצומת רוקפלר</w:t>
      </w:r>
      <w:r>
        <w:rPr>
          <w:rtl w:val="true"/>
        </w:rPr>
        <w:t xml:space="preserve">, </w:t>
      </w:r>
      <w:r>
        <w:rPr>
          <w:rtl w:val="true"/>
        </w:rPr>
        <w:t>כחמש מאות מטרים קודם למקום בו תועד הנאשם</w:t>
      </w:r>
      <w:r>
        <w:rPr>
          <w:rtl w:val="true"/>
        </w:rPr>
        <w:t xml:space="preserve">. </w:t>
      </w:r>
      <w:r>
        <w:rPr>
          <w:rtl w:val="true"/>
        </w:rPr>
        <w:t>הנאשם היה מצוי במעגל הפנימי של העבירה</w:t>
      </w:r>
      <w:r>
        <w:rPr>
          <w:rtl w:val="true"/>
        </w:rPr>
        <w:t xml:space="preserve">. </w:t>
      </w:r>
      <w:r>
        <w:rPr>
          <w:rtl w:val="true"/>
        </w:rPr>
        <w:t>הוא היה בין הרודפים אחר הרכב</w:t>
      </w:r>
      <w:r>
        <w:rPr>
          <w:rtl w:val="true"/>
        </w:rPr>
        <w:t xml:space="preserve">, </w:t>
      </w:r>
      <w:r>
        <w:rPr>
          <w:rtl w:val="true"/>
        </w:rPr>
        <w:t>וכן בין מיידי האבנים לעבר הרכב</w:t>
      </w:r>
      <w:r>
        <w:rPr>
          <w:rtl w:val="true"/>
        </w:rPr>
        <w:t xml:space="preserve">. </w:t>
      </w:r>
      <w:r>
        <w:rPr>
          <w:rtl w:val="true"/>
        </w:rPr>
        <w:t>כל זאת בעת בה ניסה הנהג</w:t>
      </w:r>
      <w:r>
        <w:rPr>
          <w:rtl w:val="true"/>
        </w:rPr>
        <w:t xml:space="preserve">, </w:t>
      </w:r>
      <w:r>
        <w:rPr>
          <w:rtl w:val="true"/>
        </w:rPr>
        <w:t>נואשות וללא הצלחה</w:t>
      </w:r>
      <w:r>
        <w:rPr>
          <w:rtl w:val="true"/>
        </w:rPr>
        <w:t xml:space="preserve">, </w:t>
      </w:r>
      <w:r>
        <w:rPr>
          <w:rtl w:val="true"/>
        </w:rPr>
        <w:t>לחמוק מפורעיו</w:t>
      </w:r>
      <w:r>
        <w:rPr>
          <w:rtl w:val="true"/>
        </w:rPr>
        <w:t xml:space="preserve">. </w:t>
      </w:r>
      <w:r>
        <w:rPr>
          <w:rtl w:val="true"/>
        </w:rPr>
        <w:t>המרדף אחר הרכב ויידוי האבן לעברו תרמו באופן ישיר לאבדן השליטה של נהג הרכב ולתוצאה העגומה של האירוע</w:t>
      </w:r>
      <w:r>
        <w:rPr>
          <w:rtl w:val="true"/>
        </w:rPr>
        <w:t xml:space="preserve">. </w:t>
      </w:r>
      <w:r>
        <w:rPr>
          <w:rtl w:val="true"/>
        </w:rPr>
        <w:t>אין לראות בעובדה כי הנאשם נפצע במהלך האירוע משום נסיבה לקולא</w:t>
      </w:r>
      <w:r>
        <w:rPr>
          <w:rtl w:val="true"/>
        </w:rPr>
        <w:t xml:space="preserve">. </w:t>
      </w:r>
      <w:r>
        <w:rPr>
          <w:rtl w:val="true"/>
        </w:rPr>
        <w:t>מקורה של פציעתו באבדן השליטה של נהג הרכב</w:t>
      </w:r>
      <w:r>
        <w:rPr>
          <w:rtl w:val="true"/>
        </w:rPr>
        <w:t xml:space="preserve">, </w:t>
      </w:r>
      <w:r>
        <w:rPr>
          <w:rtl w:val="true"/>
        </w:rPr>
        <w:t>אשר הנאשם גרם במעשיו לה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tl w:val="true"/>
        </w:rPr>
        <w:t>כתוצאה מ</w:t>
      </w:r>
      <w:r>
        <w:rPr>
          <w:rtl w:val="true"/>
        </w:rPr>
        <w:t>המעשים נגרמו למתלוננים חבלות</w:t>
      </w:r>
      <w:r>
        <w:rPr>
          <w:rtl w:val="true"/>
        </w:rPr>
        <w:t xml:space="preserve">, </w:t>
      </w:r>
      <w:r>
        <w:rPr>
          <w:rtl w:val="true"/>
        </w:rPr>
        <w:t>וכן נגרמו נזקי פח</w:t>
      </w:r>
      <w:r>
        <w:rPr>
          <w:rtl w:val="true"/>
        </w:rPr>
        <w:t xml:space="preserve">, </w:t>
      </w:r>
      <w:r>
        <w:rPr>
          <w:rtl w:val="true"/>
        </w:rPr>
        <w:t>שבירת חלונות ומסגרת החלון ברכב המתלוננים</w:t>
      </w:r>
      <w:r>
        <w:rPr>
          <w:rtl w:val="true"/>
        </w:rPr>
        <w:t xml:space="preserve">. </w:t>
      </w:r>
      <w:r>
        <w:rPr>
          <w:rFonts w:ascii="Calibri" w:hAnsi="Calibri" w:cs="Calibri"/>
          <w:rtl w:val="true"/>
        </w:rPr>
        <w:t>כעולה מתסקיר נפגע העבירה בעניינו של א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ההשלכות הרגשיות והנפשיות של הפגיעה בו ארוכות טווח ועמוקות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הוגש תסקיר נפגע עבירה בעניינם של שני נפגעי העבירה האחרים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ניתן רק לשער את גודל החרדה והאימה שחוו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>ה בעת ה</w:t>
      </w:r>
      <w:r>
        <w:rPr>
          <w:rFonts w:ascii="Calibri" w:hAnsi="Calibri" w:cs="Calibri"/>
          <w:rtl w:val="true"/>
        </w:rPr>
        <w:t>התפרעות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ובחותם שהטביעה החוויה על נפש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 להתחשב</w:t>
      </w:r>
      <w:r>
        <w:rPr>
          <w:rFonts w:ascii="Calibri" w:hAnsi="Calibri" w:cs="Calibri"/>
          <w:rtl w:val="true"/>
        </w:rPr>
        <w:t xml:space="preserve"> גם</w:t>
      </w:r>
      <w:r>
        <w:rPr>
          <w:rFonts w:ascii="Calibri" w:hAnsi="Calibri" w:cs="Calibri"/>
          <w:rtl w:val="true"/>
        </w:rPr>
        <w:t xml:space="preserve"> בפוטנציאל הפגיעה הכרוך במעשים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שהיה בהם משום </w:t>
      </w:r>
      <w:r>
        <w:rPr>
          <w:rtl w:val="true"/>
        </w:rPr>
        <w:t>סיכון ממשי לפגיעה חמורה בגוף נפגע</w:t>
      </w:r>
      <w:r>
        <w:rPr>
          <w:rtl w:val="true"/>
        </w:rPr>
        <w:t>י</w:t>
      </w:r>
      <w:r>
        <w:rPr>
          <w:rtl w:val="true"/>
        </w:rPr>
        <w:t xml:space="preserve"> העבירה</w:t>
      </w:r>
      <w:r>
        <w:rPr>
          <w:rtl w:val="true"/>
        </w:rPr>
        <w:t xml:space="preserve"> וברכב</w:t>
      </w:r>
      <w:r>
        <w:rPr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ListParagraph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tl w:val="true"/>
        </w:rPr>
        <w:t>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לפסקי דין הבאים</w:t>
      </w:r>
      <w:r>
        <w:rPr>
          <w:rtl w:val="true"/>
        </w:rPr>
        <w:t>:</w:t>
      </w:r>
    </w:p>
    <w:p>
      <w:pPr>
        <w:pStyle w:val="ListParagraph"/>
        <w:ind w:start="1080" w:end="108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אסווד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24.02.2022</w:t>
      </w:r>
      <w:r>
        <w:rPr>
          <w:rtl w:val="true"/>
        </w:rPr>
        <w:t xml:space="preserve">) – </w:t>
      </w:r>
      <w:r>
        <w:rPr>
          <w:rtl w:val="true"/>
        </w:rPr>
        <w:t>המשיב הורשע על פי הודאתו בעבירות של התפרעות שסופה נזק ממניע גזעני</w:t>
      </w:r>
      <w:r>
        <w:rPr>
          <w:rtl w:val="true"/>
        </w:rPr>
        <w:t xml:space="preserve">, </w:t>
      </w:r>
      <w:r>
        <w:rPr>
          <w:rtl w:val="true"/>
        </w:rPr>
        <w:t>הסגת גבול כדי לעבור עבירה ממניע גזעני</w:t>
      </w:r>
      <w:r>
        <w:rPr>
          <w:rtl w:val="true"/>
        </w:rPr>
        <w:t xml:space="preserve">, </w:t>
      </w:r>
      <w:r>
        <w:rPr>
          <w:rtl w:val="true"/>
        </w:rPr>
        <w:t>היזק בזדון ממניע גזעני והתפרעות</w:t>
      </w:r>
      <w:r>
        <w:rPr>
          <w:rtl w:val="true"/>
        </w:rPr>
        <w:t xml:space="preserve">. </w:t>
      </w:r>
      <w:r>
        <w:rPr>
          <w:rtl w:val="true"/>
        </w:rPr>
        <w:t xml:space="preserve">בתקופת מבצע </w:t>
      </w:r>
      <w:r>
        <w:rPr>
          <w:rtl w:val="true"/>
        </w:rPr>
        <w:t>'</w:t>
      </w:r>
      <w:r>
        <w:rPr>
          <w:rtl w:val="true"/>
        </w:rPr>
        <w:t>שומר חומות</w:t>
      </w:r>
      <w:r>
        <w:rPr>
          <w:rtl w:val="true"/>
        </w:rPr>
        <w:t xml:space="preserve">' </w:t>
      </w:r>
      <w:r>
        <w:rPr>
          <w:rtl w:val="true"/>
        </w:rPr>
        <w:t>היה המשיב מעורב במעשי הרס והתפרעות בצוותא חדא עם אחרים במלון בעכו</w:t>
      </w:r>
      <w:r>
        <w:rPr>
          <w:rtl w:val="true"/>
        </w:rPr>
        <w:t xml:space="preserve">, </w:t>
      </w:r>
      <w:r>
        <w:rPr>
          <w:rtl w:val="true"/>
        </w:rPr>
        <w:t xml:space="preserve">סימן לאחרים לחפש את מקליט הווידיאו הדיגיטלי של המלון </w:t>
      </w:r>
      <w:r>
        <w:rPr>
          <w:rtl w:val="true"/>
        </w:rPr>
        <w:t>(</w:t>
      </w:r>
      <w:r>
        <w:rPr/>
        <w:t>DVR</w:t>
      </w:r>
      <w:r>
        <w:rPr>
          <w:rtl w:val="true"/>
        </w:rPr>
        <w:t xml:space="preserve">) </w:t>
      </w:r>
      <w:r>
        <w:rPr>
          <w:rtl w:val="true"/>
        </w:rPr>
        <w:t>ודקה לאחר שיצא מהמלון הוצת המלון בידי אחרים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מהשריפה נגרם מותו של אחד מאורחי המלון ונגרמו נזקים כבדים בשווי של מעל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מיליון ₪</w:t>
      </w:r>
      <w:r>
        <w:rPr>
          <w:rtl w:val="true"/>
        </w:rPr>
        <w:t xml:space="preserve">. </w:t>
      </w:r>
      <w:r>
        <w:rPr>
          <w:rtl w:val="true"/>
        </w:rPr>
        <w:t>המשיב היה מעורב באירוע התפרעות נוסף שכלל חסימת כבישים</w:t>
      </w:r>
      <w:r>
        <w:rPr>
          <w:rtl w:val="true"/>
        </w:rPr>
        <w:t xml:space="preserve">, </w:t>
      </w:r>
      <w:r>
        <w:rPr>
          <w:rtl w:val="true"/>
        </w:rPr>
        <w:t>יידוי אבנים</w:t>
      </w:r>
      <w:r>
        <w:rPr>
          <w:rtl w:val="true"/>
        </w:rPr>
        <w:t xml:space="preserve">, </w:t>
      </w:r>
      <w:r>
        <w:rPr>
          <w:rtl w:val="true"/>
        </w:rPr>
        <w:t>בקבוקי תבערה וזיקוקים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מתחם עונש הולם לאירוע ההצתה שנע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ועל האירוע השני נקבע מתחם עונש הולם שנע בין מאסר על תנאי לבין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נגזר על המשיב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החמיר בעונשו של המשיב והעמידו על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5633/22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סאלח אל דין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28.11.2022</w:t>
      </w:r>
      <w:r>
        <w:rPr>
          <w:rtl w:val="true"/>
        </w:rPr>
        <w:t xml:space="preserve">) – </w:t>
      </w:r>
      <w:r>
        <w:rPr>
          <w:rtl w:val="true"/>
        </w:rPr>
        <w:t>המערערים הורשעו בביצוע מעשה לינץ</w:t>
      </w:r>
      <w:r>
        <w:rPr>
          <w:rtl w:val="true"/>
        </w:rPr>
        <w:t xml:space="preserve">' </w:t>
      </w:r>
      <w:r>
        <w:rPr>
          <w:rtl w:val="true"/>
        </w:rPr>
        <w:t>בבני זוג יהודים</w:t>
      </w:r>
      <w:r>
        <w:rPr>
          <w:rtl w:val="true"/>
        </w:rPr>
        <w:t xml:space="preserve">, </w:t>
      </w:r>
      <w:r>
        <w:rPr>
          <w:rtl w:val="true"/>
        </w:rPr>
        <w:t>וביידוי אבנים</w:t>
      </w:r>
      <w:r>
        <w:rPr>
          <w:rtl w:val="true"/>
        </w:rPr>
        <w:t xml:space="preserve">, </w:t>
      </w:r>
      <w:r>
        <w:rPr>
          <w:rtl w:val="true"/>
        </w:rPr>
        <w:t>השלכת בקבוקי תבערה וירי זיקוקים במספר אירועי התפרעויות</w:t>
      </w:r>
      <w:r>
        <w:rPr>
          <w:rtl w:val="true"/>
        </w:rPr>
        <w:t xml:space="preserve">. </w:t>
      </w:r>
      <w:r>
        <w:rPr>
          <w:rtl w:val="true"/>
        </w:rPr>
        <w:t>בית משפט קמא קבע ביחס לאירוע הלינץ</w:t>
      </w:r>
      <w:r>
        <w:rPr>
          <w:rtl w:val="true"/>
        </w:rPr>
        <w:t xml:space="preserve">' </w:t>
      </w:r>
      <w:r>
        <w:rPr>
          <w:rtl w:val="true"/>
        </w:rPr>
        <w:t xml:space="preserve">מתחם ענישה שנע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וכן מתחם ענישה שנע בין </w:t>
      </w:r>
      <w:r>
        <w:rPr/>
        <w:t>10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חודשי מאסר ביחס לכל אחד מהאישומים הנותרים</w:t>
      </w:r>
      <w:r>
        <w:rPr>
          <w:rtl w:val="true"/>
        </w:rPr>
        <w:t xml:space="preserve">. </w:t>
      </w:r>
      <w:r>
        <w:rPr>
          <w:rtl w:val="true"/>
        </w:rPr>
        <w:t xml:space="preserve">הושת על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של </w:t>
      </w:r>
      <w:r>
        <w:rPr/>
        <w:t>84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ועל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 של חמש שנות מאסר בפועל</w:t>
      </w:r>
      <w:r>
        <w:rPr>
          <w:rtl w:val="true"/>
        </w:rPr>
        <w:t xml:space="preserve">, </w:t>
      </w:r>
      <w:r>
        <w:rPr>
          <w:rtl w:val="true"/>
        </w:rPr>
        <w:t>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העליון החמיר בעונש המערערים והשית על מערער </w:t>
      </w:r>
      <w:r>
        <w:rPr/>
        <w:t>1</w:t>
      </w:r>
      <w:r>
        <w:rPr>
          <w:rtl w:val="true"/>
        </w:rPr>
        <w:t xml:space="preserve"> –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ועל מערער </w:t>
      </w:r>
      <w:r>
        <w:rPr/>
        <w:t>2</w:t>
      </w:r>
      <w:r>
        <w:rPr>
          <w:rtl w:val="true"/>
        </w:rPr>
        <w:t xml:space="preserve"> –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r>
        <w:rPr>
          <w:rFonts w:eastAsia="David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ח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55524-06-21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עבאס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28.11.2022</w:t>
      </w:r>
      <w:r>
        <w:rPr>
          <w:rtl w:val="true"/>
        </w:rPr>
        <w:t>)</w:t>
      </w:r>
      <w:r>
        <w:rPr>
          <w:rtl w:val="true"/>
        </w:rPr>
        <w:t xml:space="preserve"> –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על יסוד הודאתו בעבירות של מעשה טרור של ניסיון לחבלה בכוונה מחמירה</w:t>
      </w:r>
      <w:r>
        <w:rPr>
          <w:rtl w:val="true"/>
        </w:rPr>
        <w:t xml:space="preserve">, </w:t>
      </w:r>
      <w:r>
        <w:rPr>
          <w:rtl w:val="true"/>
        </w:rPr>
        <w:t>מעשה טרור של חבלה חמורה בנסיבות מחמירות והתפרעות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נטל חלק בהתפרעות שהתרחשה בתקופת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", </w:t>
      </w:r>
      <w:r>
        <w:rPr>
          <w:rtl w:val="true"/>
        </w:rPr>
        <w:t>במהלכו המתפרעים</w:t>
      </w:r>
      <w:r>
        <w:rPr>
          <w:rtl w:val="true"/>
        </w:rPr>
        <w:t xml:space="preserve">, </w:t>
      </w:r>
      <w:r>
        <w:rPr>
          <w:rtl w:val="true"/>
        </w:rPr>
        <w:t>חמושים במקלות ואבנים</w:t>
      </w:r>
      <w:r>
        <w:rPr>
          <w:rtl w:val="true"/>
        </w:rPr>
        <w:t xml:space="preserve">, </w:t>
      </w:r>
      <w:r>
        <w:rPr>
          <w:rtl w:val="true"/>
        </w:rPr>
        <w:t>יידו אבנים על מכתזי</w:t>
      </w:r>
      <w:r>
        <w:rPr>
          <w:rtl w:val="true"/>
        </w:rPr>
        <w:t>"</w:t>
      </w:r>
      <w:r>
        <w:rPr>
          <w:rtl w:val="true"/>
        </w:rPr>
        <w:t>ת וחסמו נתיב מעבר באמצעות רהיטים</w:t>
      </w:r>
      <w:r>
        <w:rPr>
          <w:rtl w:val="true"/>
        </w:rPr>
        <w:t xml:space="preserve">. </w:t>
      </w:r>
      <w:r>
        <w:rPr>
          <w:rtl w:val="true"/>
        </w:rPr>
        <w:t>המתלונן נקלע למקום עם רכבו ונחסם בידי המתפרעים</w:t>
      </w:r>
      <w:r>
        <w:rPr>
          <w:rtl w:val="true"/>
        </w:rPr>
        <w:t xml:space="preserve">, </w:t>
      </w:r>
      <w:r>
        <w:rPr>
          <w:rtl w:val="true"/>
        </w:rPr>
        <w:t>שחבטו ברכבו</w:t>
      </w:r>
      <w:r>
        <w:rPr>
          <w:rtl w:val="true"/>
        </w:rPr>
        <w:t xml:space="preserve">, </w:t>
      </w:r>
      <w:r>
        <w:rPr>
          <w:rtl w:val="true"/>
        </w:rPr>
        <w:t>יידו אבנים והשליכו עליו רהיטים וחפצים שונים</w:t>
      </w:r>
      <w:r>
        <w:rPr>
          <w:rtl w:val="true"/>
        </w:rPr>
        <w:t xml:space="preserve">. </w:t>
      </w:r>
      <w:r>
        <w:rPr>
          <w:color w:val="000000"/>
          <w:shd w:fill="FFFFFF" w:val="clear"/>
          <w:rtl w:val="true"/>
        </w:rPr>
        <w:t xml:space="preserve">המתלונן </w:t>
      </w:r>
      <w:r>
        <w:rPr>
          <w:rtl w:val="true"/>
        </w:rPr>
        <w:t>ברח מרכבו והמתפרעים השיגוהו</w:t>
      </w:r>
      <w:r>
        <w:rPr>
          <w:rtl w:val="true"/>
        </w:rPr>
        <w:t xml:space="preserve">, </w:t>
      </w:r>
      <w:r>
        <w:rPr>
          <w:rtl w:val="true"/>
        </w:rPr>
        <w:t>היכו בו באמצעות בעיטות</w:t>
      </w:r>
      <w:r>
        <w:rPr>
          <w:rtl w:val="true"/>
        </w:rPr>
        <w:t xml:space="preserve">, </w:t>
      </w:r>
      <w:r>
        <w:rPr>
          <w:rtl w:val="true"/>
        </w:rPr>
        <w:t>אגרופים ובאמצעות חפצים שונים עד לאבדן הכרה</w:t>
      </w:r>
      <w:r>
        <w:rPr>
          <w:rtl w:val="true"/>
        </w:rPr>
        <w:t xml:space="preserve">. </w:t>
      </w:r>
      <w:r>
        <w:rPr>
          <w:rtl w:val="true"/>
        </w:rPr>
        <w:t>המתפרעים גם הציתו את רכבו של המתלונן</w:t>
      </w:r>
      <w:r>
        <w:rPr>
          <w:rtl w:val="true"/>
        </w:rPr>
        <w:t xml:space="preserve">. </w:t>
      </w:r>
      <w:r>
        <w:rPr>
          <w:rtl w:val="true"/>
        </w:rPr>
        <w:t>הנאשם יידה אבן לעבר הרכב ופגע בו</w:t>
      </w:r>
      <w:r>
        <w:rPr>
          <w:rtl w:val="true"/>
        </w:rPr>
        <w:t xml:space="preserve">, </w:t>
      </w:r>
      <w:r>
        <w:rPr>
          <w:rtl w:val="true"/>
        </w:rPr>
        <w:t>וכן שבר באמצעות אלה את חלון מושב הנוסע האחורי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 היכה ביחד עם יתר המתפרעים את המתלונן באמצעות אלות מעץ ומוטות ברזל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עונש שנע בין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והושת על הנאשם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 וענישה נלווית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30684-06-21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מוריח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24.11.2022</w:t>
      </w:r>
      <w:r>
        <w:rPr>
          <w:rtl w:val="true"/>
        </w:rPr>
        <w:t xml:space="preserve">) – </w:t>
      </w:r>
      <w:r>
        <w:rPr>
          <w:rtl w:val="true"/>
        </w:rPr>
        <w:t>הנאשמים הורשעו על יסוד הודאתם בעבירות התפרעות וניסיון לתקיפת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>מעשה טרור של חבלה בכוונה מחמירה וחבלה במזיד ממניע של גזענות</w:t>
      </w:r>
      <w:r>
        <w:rPr>
          <w:rtl w:val="true"/>
        </w:rPr>
        <w:t xml:space="preserve">. </w:t>
      </w:r>
      <w:r>
        <w:rPr>
          <w:rtl w:val="true"/>
        </w:rPr>
        <w:t xml:space="preserve">במהלך מבצע </w:t>
      </w:r>
      <w:r>
        <w:rPr>
          <w:rtl w:val="true"/>
        </w:rPr>
        <w:t>"</w:t>
      </w:r>
      <w:r>
        <w:rPr>
          <w:rtl w:val="true"/>
        </w:rPr>
        <w:t>שומר חומות</w:t>
      </w:r>
      <w:r>
        <w:rPr>
          <w:rtl w:val="true"/>
        </w:rPr>
        <w:t xml:space="preserve">", </w:t>
      </w:r>
      <w:r>
        <w:rPr>
          <w:rtl w:val="true"/>
        </w:rPr>
        <w:t>השתתפו חלק מהנאשמים בהתפרעות בעיר טמרה</w:t>
      </w:r>
      <w:r>
        <w:rPr>
          <w:rtl w:val="true"/>
        </w:rPr>
        <w:t xml:space="preserve">, </w:t>
      </w:r>
      <w:r>
        <w:rPr>
          <w:rtl w:val="true"/>
        </w:rPr>
        <w:t>והשליכו אבנים מטווח קצר לעבר השוטרים שהיו במקום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הנאשמים תקפו את המתלונן – יהודי שנקלע עם רכבו למקום</w:t>
      </w:r>
      <w:r>
        <w:rPr>
          <w:rtl w:val="true"/>
        </w:rPr>
        <w:t xml:space="preserve">. </w:t>
      </w:r>
      <w:r>
        <w:rPr>
          <w:rtl w:val="true"/>
        </w:rPr>
        <w:t>המתלונן הותקף בבעיטות</w:t>
      </w:r>
      <w:r>
        <w:rPr>
          <w:rtl w:val="true"/>
        </w:rPr>
        <w:t xml:space="preserve">, </w:t>
      </w:r>
      <w:r>
        <w:rPr>
          <w:rtl w:val="true"/>
        </w:rPr>
        <w:t>במכות ידיים</w:t>
      </w:r>
      <w:r>
        <w:rPr>
          <w:rtl w:val="true"/>
        </w:rPr>
        <w:t xml:space="preserve">, </w:t>
      </w:r>
      <w:r>
        <w:rPr>
          <w:rtl w:val="true"/>
        </w:rPr>
        <w:t>יידוי אבנים וכלי העבודה שנלקחו מרכבו</w:t>
      </w:r>
      <w:r>
        <w:rPr>
          <w:rtl w:val="true"/>
        </w:rPr>
        <w:t xml:space="preserve">, </w:t>
      </w:r>
      <w:r>
        <w:rPr>
          <w:rtl w:val="true"/>
        </w:rPr>
        <w:t>בזמן שהתוקפים מנסים להוציאו מרכבו ופוגעים ברכב</w:t>
      </w:r>
      <w:r>
        <w:rPr>
          <w:rtl w:val="true"/>
        </w:rPr>
        <w:t xml:space="preserve">. </w:t>
      </w:r>
      <w:r>
        <w:rPr>
          <w:rtl w:val="true"/>
        </w:rPr>
        <w:t>לאחר שהמתלונן חולץ מהמקום</w:t>
      </w:r>
      <w:r>
        <w:rPr>
          <w:rtl w:val="true"/>
        </w:rPr>
        <w:t xml:space="preserve">, </w:t>
      </w:r>
      <w:r>
        <w:rPr>
          <w:rtl w:val="true"/>
        </w:rPr>
        <w:t>המשיכו חלק המתפרעים להרוס את הרכב ולבסוף הציתו אותו</w:t>
      </w:r>
      <w:r>
        <w:rPr>
          <w:rtl w:val="true"/>
        </w:rPr>
        <w:t xml:space="preserve">. </w:t>
      </w:r>
      <w:r>
        <w:rPr>
          <w:rtl w:val="true"/>
        </w:rPr>
        <w:t>למתלונן נגרמו שברים בחוליות הגב</w:t>
      </w:r>
      <w:r>
        <w:rPr>
          <w:rtl w:val="true"/>
        </w:rPr>
        <w:t xml:space="preserve">, </w:t>
      </w:r>
      <w:r>
        <w:rPr>
          <w:rtl w:val="true"/>
        </w:rPr>
        <w:t>חתכים בראש</w:t>
      </w:r>
      <w:r>
        <w:rPr>
          <w:rtl w:val="true"/>
        </w:rPr>
        <w:t xml:space="preserve">, </w:t>
      </w:r>
      <w:r>
        <w:rPr>
          <w:rtl w:val="true"/>
        </w:rPr>
        <w:t>בירך ימין</w:t>
      </w:r>
      <w:r>
        <w:rPr>
          <w:rtl w:val="true"/>
        </w:rPr>
        <w:t xml:space="preserve">, </w:t>
      </w:r>
      <w:r>
        <w:rPr>
          <w:rtl w:val="true"/>
        </w:rPr>
        <w:t>בידו ובאזור הצלעות</w:t>
      </w:r>
      <w:r>
        <w:rPr>
          <w:rtl w:val="true"/>
        </w:rPr>
        <w:t xml:space="preserve">, </w:t>
      </w:r>
      <w:r>
        <w:rPr>
          <w:rtl w:val="true"/>
        </w:rPr>
        <w:t>וכן שריטות</w:t>
      </w:r>
      <w:r>
        <w:rPr>
          <w:rtl w:val="true"/>
        </w:rPr>
        <w:t xml:space="preserve">, </w:t>
      </w:r>
      <w:r>
        <w:rPr>
          <w:rtl w:val="true"/>
        </w:rPr>
        <w:t>שטפי דם וסימני חבלה במקומות שונים בגופו</w:t>
      </w:r>
      <w:r>
        <w:rPr>
          <w:rtl w:val="true"/>
        </w:rPr>
        <w:t xml:space="preserve">. </w:t>
      </w:r>
      <w:r>
        <w:rPr>
          <w:rtl w:val="true"/>
        </w:rPr>
        <w:t>אף חלק משיניו נפלו</w:t>
      </w:r>
      <w:r>
        <w:rPr>
          <w:rtl w:val="true"/>
        </w:rPr>
        <w:t xml:space="preserve">. </w:t>
      </w:r>
      <w:r>
        <w:rPr>
          <w:rtl w:val="true"/>
        </w:rPr>
        <w:t>בין הנאשמים ובין המתלונן נערכה סולחה במסגרתה שילמו המשפחות סכום כסף לפיצויו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עונש שנע בין חמש לתשע שנות מאסר בעניינו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עליו הושתו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בעניינם של יתר הנאשמים נקבע מתחם עונש שנע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והוטל על כל אחד מהם עונש מאסר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בפועל וענישה נלווית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לשורה של פסקי דין</w:t>
      </w:r>
      <w:r>
        <w:rPr>
          <w:rtl w:val="true"/>
        </w:rPr>
        <w:t xml:space="preserve">, </w:t>
      </w:r>
      <w:r>
        <w:rPr>
          <w:rtl w:val="true"/>
        </w:rPr>
        <w:t>שבהם לא היתה הרשעה במעשה טרור לפי חוק המאבק בטרור</w:t>
      </w:r>
      <w:r>
        <w:rPr>
          <w:rtl w:val="true"/>
        </w:rPr>
        <w:t xml:space="preserve">. </w:t>
      </w:r>
      <w:r>
        <w:rPr>
          <w:rtl w:val="true"/>
        </w:rPr>
        <w:t>רף הענישה במקרים אלה נמוך משמעותית</w:t>
      </w:r>
      <w:r>
        <w:rPr>
          <w:rtl w:val="true"/>
        </w:rPr>
        <w:t>: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36157-06-22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אבו חומוס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20.6.2023</w:t>
      </w:r>
      <w:r>
        <w:rPr>
          <w:rtl w:val="true"/>
        </w:rPr>
        <w:t xml:space="preserve">) – </w:t>
      </w:r>
      <w:r>
        <w:rPr>
          <w:rtl w:val="true"/>
        </w:rPr>
        <w:t>הנאשמים הורשעו על פי הודאתם</w:t>
      </w:r>
      <w:r>
        <w:rPr>
          <w:rtl w:val="true"/>
        </w:rPr>
        <w:t xml:space="preserve">, </w:t>
      </w:r>
      <w:r>
        <w:rPr>
          <w:rtl w:val="true"/>
        </w:rPr>
        <w:t>בעבירות של חבלה חמורה בנסיבות מחמירות וחבלה במזיד ברכב</w:t>
      </w:r>
      <w:r>
        <w:rPr>
          <w:rtl w:val="true"/>
        </w:rPr>
        <w:t xml:space="preserve">. </w:t>
      </w:r>
      <w:r>
        <w:rPr>
          <w:rtl w:val="true"/>
        </w:rPr>
        <w:t>המתלונן נכנס בטעות לשכונת עיסאוויה עם חבריו ומסיבה שאינה ידועה ירה לאוויר מחסנית של כ</w:t>
      </w:r>
      <w:r>
        <w:rPr>
          <w:rtl w:val="true"/>
        </w:rPr>
        <w:t>-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>ארבו הנאשמים לרכבו של המתלונן</w:t>
      </w:r>
      <w:r>
        <w:rPr>
          <w:rtl w:val="true"/>
        </w:rPr>
        <w:t xml:space="preserve">, </w:t>
      </w:r>
      <w:r>
        <w:rPr>
          <w:rtl w:val="true"/>
        </w:rPr>
        <w:t>חסמו את הנתיב שממול המתלונן</w:t>
      </w:r>
      <w:r>
        <w:rPr>
          <w:rtl w:val="true"/>
        </w:rPr>
        <w:t xml:space="preserve">, </w:t>
      </w:r>
      <w:r>
        <w:rPr>
          <w:rtl w:val="true"/>
        </w:rPr>
        <w:t>דבר שהוביל להתנגשות בין שני כלי הרכב</w:t>
      </w:r>
      <w:r>
        <w:rPr>
          <w:rtl w:val="true"/>
        </w:rPr>
        <w:t xml:space="preserve">. </w:t>
      </w:r>
      <w:r>
        <w:rPr>
          <w:rtl w:val="true"/>
        </w:rPr>
        <w:t>אז החל ההמון</w:t>
      </w:r>
      <w:r>
        <w:rPr>
          <w:rtl w:val="true"/>
        </w:rPr>
        <w:t xml:space="preserve">, </w:t>
      </w:r>
      <w:r>
        <w:rPr>
          <w:rtl w:val="true"/>
        </w:rPr>
        <w:t>ובו גם הנאשמים</w:t>
      </w:r>
      <w:r>
        <w:rPr>
          <w:rtl w:val="true"/>
        </w:rPr>
        <w:t xml:space="preserve">, </w:t>
      </w:r>
      <w:r>
        <w:rPr>
          <w:rtl w:val="true"/>
        </w:rPr>
        <w:t>להתאסף סביב הרכב וליידות לעברו אבנים וסלעים מטווח קצר</w:t>
      </w:r>
      <w:r>
        <w:rPr>
          <w:rtl w:val="true"/>
        </w:rPr>
        <w:t xml:space="preserve">. </w:t>
      </w:r>
      <w:r>
        <w:rPr>
          <w:rtl w:val="true"/>
        </w:rPr>
        <w:t xml:space="preserve">בעוד המתלונן יושב ברכב הוא הוכה בידי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ריסס לעברו גז פלפל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עונש שנע בין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והושת 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בעניינו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שנע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והושת 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ובעניינו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נקבע מתחם עונש שנע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והושת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</w:p>
    <w:p>
      <w:pPr>
        <w:pStyle w:val="ListParagraph"/>
        <w:ind w:start="1080" w:end="108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5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15931-11-22</w:t>
        </w:r>
      </w:hyperlink>
      <w:r>
        <w:rPr>
          <w:rtl w:val="true"/>
        </w:rPr>
        <w:t xml:space="preserve"> 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שמחון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5.1.2023</w:t>
      </w:r>
      <w:r>
        <w:rPr>
          <w:rtl w:val="true"/>
        </w:rPr>
        <w:t xml:space="preserve">) – </w:t>
      </w:r>
      <w:r>
        <w:rPr>
          <w:rtl w:val="true"/>
        </w:rPr>
        <w:t>המערער הורשע על פי הודאתו 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בעבירות של חבלה חמורה בנסיבות מחמירות וניסיון לחבלה במזיד ברכב</w:t>
      </w:r>
      <w:r>
        <w:rPr>
          <w:rtl w:val="true"/>
        </w:rPr>
        <w:t xml:space="preserve">. </w:t>
      </w:r>
      <w:r>
        <w:rPr>
          <w:rtl w:val="true"/>
        </w:rPr>
        <w:t xml:space="preserve">על רקע מבצע </w:t>
      </w:r>
      <w:r>
        <w:rPr>
          <w:rtl w:val="true"/>
        </w:rPr>
        <w:t>"</w:t>
      </w:r>
      <w:r>
        <w:rPr>
          <w:rtl w:val="true"/>
        </w:rPr>
        <w:t>שומר החומות</w:t>
      </w:r>
      <w:r>
        <w:rPr>
          <w:rtl w:val="true"/>
        </w:rPr>
        <w:t xml:space="preserve">" </w:t>
      </w:r>
      <w:r>
        <w:rPr>
          <w:rtl w:val="true"/>
        </w:rPr>
        <w:t>במהלך פגיעה של פורעים בבתי עסק בבעלות אזרחים ערבים</w:t>
      </w:r>
      <w:r>
        <w:rPr>
          <w:rtl w:val="true"/>
        </w:rPr>
        <w:t xml:space="preserve">, </w:t>
      </w:r>
      <w:r>
        <w:rPr>
          <w:rtl w:val="true"/>
        </w:rPr>
        <w:t>חלף המתלונן עם רכבו בסמוך למקום האירוע</w:t>
      </w:r>
      <w:r>
        <w:rPr>
          <w:rtl w:val="true"/>
        </w:rPr>
        <w:t xml:space="preserve">. </w:t>
      </w:r>
      <w:r>
        <w:rPr>
          <w:rtl w:val="true"/>
        </w:rPr>
        <w:t>הנאשם ואחרים רדפו אחר המתלונן</w:t>
      </w:r>
      <w:r>
        <w:rPr>
          <w:rtl w:val="true"/>
        </w:rPr>
        <w:t xml:space="preserve">. </w:t>
      </w:r>
      <w:r>
        <w:rPr>
          <w:rtl w:val="true"/>
        </w:rPr>
        <w:t>הם הוציאו את המתלונן בכוח מהרכב חשמלו אותו בשוקר</w:t>
      </w:r>
      <w:r>
        <w:rPr>
          <w:rtl w:val="true"/>
        </w:rPr>
        <w:t xml:space="preserve">, </w:t>
      </w:r>
      <w:r>
        <w:rPr>
          <w:rtl w:val="true"/>
        </w:rPr>
        <w:t>הפילו אותו לרצפה היכו אותו 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tl w:val="true"/>
        </w:rPr>
        <w:t xml:space="preserve">, </w:t>
      </w:r>
      <w:r>
        <w:rPr>
          <w:rtl w:val="true"/>
        </w:rPr>
        <w:t>מקלות ואלות טלסקופיות וכן הוטח בפניו קורקינט חשמלי</w:t>
      </w:r>
      <w:r>
        <w:rPr>
          <w:rtl w:val="true"/>
        </w:rPr>
        <w:t xml:space="preserve">. </w:t>
      </w:r>
      <w:r>
        <w:rPr>
          <w:rtl w:val="true"/>
        </w:rPr>
        <w:t>הנאשם היכה את המתלונן חמש מכות אגרוף בראשו ובכתפו</w:t>
      </w:r>
      <w:r>
        <w:rPr>
          <w:rtl w:val="true"/>
        </w:rPr>
        <w:t xml:space="preserve">, </w:t>
      </w:r>
      <w:r>
        <w:rPr>
          <w:rtl w:val="true"/>
        </w:rPr>
        <w:t>ובהמשך ניסה לבעוט בו בגופו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עונש שנע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והושת על הנאשם עונש של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56498-08-19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קיאנייה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14.9.2020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 הורשע על פי הודאתו בעבירה של ניסיון לחבלה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>בליל תשעה באב</w:t>
      </w:r>
      <w:r>
        <w:rPr>
          <w:rtl w:val="true"/>
        </w:rPr>
        <w:t xml:space="preserve">, </w:t>
      </w:r>
      <w:r>
        <w:rPr>
          <w:rtl w:val="true"/>
        </w:rPr>
        <w:t>הבחינו הנאשם ואחרים במתלונן שנסע ברכבו ברח</w:t>
      </w:r>
      <w:r>
        <w:rPr>
          <w:rtl w:val="true"/>
        </w:rPr>
        <w:t xml:space="preserve">' </w:t>
      </w:r>
      <w:r>
        <w:rPr>
          <w:rtl w:val="true"/>
        </w:rPr>
        <w:t>צלאח 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הם היכו את המתלונן ובעטו בו ממרחק קצר</w:t>
      </w:r>
      <w:r>
        <w:rPr>
          <w:rtl w:val="true"/>
        </w:rPr>
        <w:t xml:space="preserve">, </w:t>
      </w:r>
      <w:r>
        <w:rPr>
          <w:rtl w:val="true"/>
        </w:rPr>
        <w:t>ויידו לעברו אבנים וחפצים נוספים</w:t>
      </w:r>
      <w:r>
        <w:rPr>
          <w:rtl w:val="true"/>
        </w:rPr>
        <w:t xml:space="preserve">, </w:t>
      </w:r>
      <w:r>
        <w:rPr>
          <w:rtl w:val="true"/>
        </w:rPr>
        <w:t>שחלקם פגעו בראשו</w:t>
      </w:r>
      <w:r>
        <w:rPr>
          <w:rtl w:val="true"/>
        </w:rPr>
        <w:t xml:space="preserve">. </w:t>
      </w:r>
      <w:r>
        <w:rPr>
          <w:rtl w:val="true"/>
        </w:rPr>
        <w:t>אחד המעורבים האחרים ניסה למשוך את המתלונן ולהוציאו מהרכב בכוח</w:t>
      </w:r>
      <w:r>
        <w:rPr>
          <w:rtl w:val="true"/>
        </w:rPr>
        <w:t xml:space="preserve">. </w:t>
      </w:r>
      <w:r>
        <w:rPr>
          <w:rtl w:val="true"/>
        </w:rPr>
        <w:t>הנאשם הלך עם האחרים אחר הרכב</w:t>
      </w:r>
      <w:r>
        <w:rPr>
          <w:rtl w:val="true"/>
        </w:rPr>
        <w:t xml:space="preserve">, </w:t>
      </w:r>
      <w:r>
        <w:rPr>
          <w:rtl w:val="true"/>
        </w:rPr>
        <w:t>ראה את האחרים מכים את המתלונן</w:t>
      </w:r>
      <w:r>
        <w:rPr>
          <w:rtl w:val="true"/>
        </w:rPr>
        <w:t xml:space="preserve">, </w:t>
      </w:r>
      <w:r>
        <w:rPr>
          <w:rtl w:val="true"/>
        </w:rPr>
        <w:t>מכים ברכב ומיידים אבנים וחפצים לעברו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 הגיע סמוך לחלון הרכב וריסס את פניו של המתלונן בחומר שגרם לצריבה בעיניו</w:t>
      </w:r>
      <w:r>
        <w:rPr>
          <w:rtl w:val="true"/>
        </w:rPr>
        <w:t xml:space="preserve">. </w:t>
      </w:r>
      <w:r>
        <w:rPr>
          <w:rtl w:val="true"/>
        </w:rPr>
        <w:t>למתלונן נגרמו שטפי דם בראשו</w:t>
      </w:r>
      <w:r>
        <w:rPr>
          <w:rtl w:val="true"/>
        </w:rPr>
        <w:t xml:space="preserve">, </w:t>
      </w:r>
      <w:r>
        <w:rPr>
          <w:rtl w:val="true"/>
        </w:rPr>
        <w:t>שריטות וסימנים אדומים בצווארו</w:t>
      </w:r>
      <w:r>
        <w:rPr>
          <w:rtl w:val="true"/>
        </w:rPr>
        <w:t xml:space="preserve">, </w:t>
      </w:r>
      <w:r>
        <w:rPr>
          <w:rtl w:val="true"/>
        </w:rPr>
        <w:t>וכן נגרמו נזקים לרכב</w:t>
      </w:r>
      <w:r>
        <w:rPr>
          <w:rtl w:val="true"/>
        </w:rPr>
        <w:t xml:space="preserve">. </w:t>
      </w:r>
      <w:r>
        <w:rPr>
          <w:rtl w:val="true"/>
        </w:rPr>
        <w:t>נקבע מתחם עונש שנע בין שנה 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והושת על הנאשם עונש של שתי שנות מאסר בפועל וענישה נלווית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tl w:val="true"/>
        </w:rPr>
        <w:t>בנוסף אפנה לפסקי הדין הבאים</w:t>
      </w:r>
      <w:r>
        <w:rPr>
          <w:rtl w:val="true"/>
        </w:rPr>
        <w:t>:</w:t>
      </w:r>
    </w:p>
    <w:p>
      <w:pPr>
        <w:pStyle w:val="ListParagraph"/>
        <w:ind w:start="1080" w:end="0"/>
        <w:jc w:val="both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ind w:hanging="360" w:start="1069" w:end="0"/>
        <w:contextualSpacing/>
        <w:jc w:val="both"/>
        <w:rPr/>
      </w:pPr>
      <w:hyperlink r:id="rId5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22572-05-21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בכיראת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21.03.2022</w:t>
      </w:r>
      <w:r>
        <w:rPr>
          <w:rFonts w:cs="Tahoma" w:ascii="Tahoma" w:hAnsi="Tahoma"/>
          <w:rtl w:val="true"/>
        </w:rPr>
        <w:t xml:space="preserve">)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>הנאשם הורשע על יסוד הודאתו בביצוע עבירת איומים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ניסיון חבלה חמורה בנסיבות מחמירות</w:t>
      </w:r>
      <w:r>
        <w:rPr>
          <w:rFonts w:cs="Arial" w:ascii="Arial" w:hAnsi="Arial"/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במהלך חודש רמדאן ביום שישי נהג הנאשם ברכב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עם עוד שני אחרים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בסמוך לנחל סטף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כשהבחינו בשני המתלוננים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בעלי חזות יהודית חרדית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הולכים בצד הדרך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סטה הנאשם מנתיב נסיעתו </w:t>
      </w:r>
      <w:r>
        <w:rPr>
          <w:rFonts w:ascii="Tahoma" w:hAnsi="Tahoma" w:cs="Tahoma"/>
          <w:rtl w:val="true"/>
        </w:rPr>
        <w:t>ל</w:t>
      </w:r>
      <w:r>
        <w:rPr>
          <w:rFonts w:ascii="Tahoma" w:hAnsi="Tahoma" w:cs="Tahoma"/>
          <w:rtl w:val="true"/>
        </w:rPr>
        <w:t>עברם באופן שחייבם לקפוץ הצידה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וברגע האחרון הסיט את רכבו מהם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הוא המשיך בנסיעה וחזר לאחר מספר דקות במטרה לתקפם ממניע גזעני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בעודו מתעד את האירוע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הוא התקרב אליהם והאט את נסיעתו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מאפשר בכך לחברו לתקוף אותם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חברו יידה אבן לכיוון אחד המתלוננים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והוא נפגע ונזקק לקיבוע גבס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במקרה נוסף שאירע שלושה ימים לאחר מכן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נסע הנאשם עם אחרים ברכבו 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הרב הרצוג בירושלים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כשהבחין בשני מתלוננים נוספים בעלי זהות יהודית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חרדית הולכים ברחוב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האט את הרכב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ונסע במקביל אליהם כדי לאפשר לאחרים שהיו עמו לתקוף אותם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מחבריו יידה אבן בחוזקה לעבר המתלוננים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האבן לא פגעה בהם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נגזרו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 בניכוי ימי מעצרו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מאסר על תנאי ותשלום פיצוי בסך </w:t>
      </w:r>
      <w:r>
        <w:rPr>
          <w:rFonts w:cs="Tahoma" w:ascii="Tahoma" w:hAnsi="Tahoma"/>
        </w:rPr>
        <w:t>12,000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למתלונן שנפצע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before="0" w:after="0"/>
        <w:ind w:start="1069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start="1069" w:end="0"/>
        <w:contextualSpacing/>
        <w:jc w:val="both"/>
        <w:rPr/>
      </w:pP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2313/22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סרור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7.11.2022</w:t>
      </w:r>
      <w:r>
        <w:rPr>
          <w:rtl w:val="true"/>
        </w:rPr>
        <w:t xml:space="preserve">) – </w:t>
      </w:r>
      <w:r>
        <w:rPr>
          <w:rtl w:val="true"/>
        </w:rPr>
        <w:t>הנאשמים הורשעו על יסוד הודאתם בעבירת מעשה טרור של תקיפה הגורמת חבלה ממשית בנסיבות מחמירות</w:t>
      </w:r>
      <w:r>
        <w:rPr>
          <w:rtl w:val="true"/>
        </w:rPr>
        <w:t xml:space="preserve">. </w:t>
      </w:r>
      <w:r>
        <w:rPr>
          <w:rtl w:val="true"/>
        </w:rPr>
        <w:t>במהלך ימי הרמדאן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בעל חזות יהודית דתית עמד עם רכבו בפקק תנועה</w:t>
      </w:r>
      <w:r>
        <w:rPr>
          <w:rtl w:val="true"/>
        </w:rPr>
        <w:t xml:space="preserve">. </w:t>
      </w:r>
      <w:r>
        <w:rPr>
          <w:rtl w:val="true"/>
        </w:rPr>
        <w:t>המון החל לתקוף אותו באמצעות יידוי אבנים</w:t>
      </w:r>
      <w:r>
        <w:rPr>
          <w:rtl w:val="true"/>
        </w:rPr>
        <w:t xml:space="preserve">, </w:t>
      </w:r>
      <w:r>
        <w:rPr>
          <w:rtl w:val="true"/>
        </w:rPr>
        <w:t>בעיטות ומכות</w:t>
      </w:r>
      <w:r>
        <w:rPr>
          <w:rtl w:val="true"/>
        </w:rPr>
        <w:t xml:space="preserve">. </w:t>
      </w:r>
      <w:r>
        <w:rPr>
          <w:rtl w:val="true"/>
        </w:rPr>
        <w:t>המתלונן יצא מהרכב בניסיון להימלט</w:t>
      </w:r>
      <w:r>
        <w:rPr>
          <w:rtl w:val="true"/>
        </w:rPr>
        <w:t xml:space="preserve">. </w:t>
      </w:r>
      <w:r>
        <w:rPr>
          <w:rtl w:val="true"/>
        </w:rPr>
        <w:t>חלק מהפורעים רדפו אחריו</w:t>
      </w:r>
      <w:r>
        <w:rPr>
          <w:rtl w:val="true"/>
        </w:rPr>
        <w:t xml:space="preserve">, </w:t>
      </w:r>
      <w:r>
        <w:rPr>
          <w:rtl w:val="true"/>
        </w:rPr>
        <w:t>הפילו אותו לקרקע והיכו אותו בכל חלקי גופו</w:t>
      </w:r>
      <w:r>
        <w:rPr>
          <w:rtl w:val="true"/>
        </w:rPr>
        <w:t xml:space="preserve">. </w:t>
      </w:r>
      <w:r>
        <w:rPr>
          <w:rtl w:val="true"/>
        </w:rPr>
        <w:t>בעוד המתלונן שרוע על הקרקע</w:t>
      </w:r>
      <w:r>
        <w:rPr>
          <w:rtl w:val="true"/>
        </w:rPr>
        <w:t xml:space="preserve">, </w:t>
      </w:r>
      <w:r>
        <w:rPr>
          <w:rtl w:val="true"/>
        </w:rPr>
        <w:t xml:space="preserve">בעט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במתלונן והיכה אותו באמצעות קסדת אופנוע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בעט במתלונן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בעיטות</w:t>
      </w:r>
      <w:r>
        <w:rPr>
          <w:rtl w:val="true"/>
        </w:rPr>
        <w:t xml:space="preserve">. </w:t>
      </w:r>
      <w:r>
        <w:rPr>
          <w:rtl w:val="true"/>
        </w:rPr>
        <w:t>יתר הפורעים המשיכו להכות את המתלונן והציתו את רכבו</w:t>
      </w:r>
      <w:r>
        <w:rPr>
          <w:rtl w:val="true"/>
        </w:rPr>
        <w:t xml:space="preserve">. </w:t>
      </w:r>
      <w:r>
        <w:rPr>
          <w:rtl w:val="true"/>
        </w:rPr>
        <w:t>למתלונן נגרמו חבלות</w:t>
      </w:r>
      <w:r>
        <w:rPr>
          <w:rtl w:val="true"/>
        </w:rPr>
        <w:t xml:space="preserve">, </w:t>
      </w:r>
      <w:r>
        <w:rPr>
          <w:rtl w:val="true"/>
        </w:rPr>
        <w:t>חתך בראשו וכאבים בכל חלקי גופו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קבע מתחם עונש שנע בין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והשית על כל אחד מהנאשמים עונש של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 מאסר בפועל וענישה נלווית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העליון דחה את ערעור</w:t>
      </w:r>
      <w:r>
        <w:rPr>
          <w:rtl w:val="true"/>
        </w:rPr>
        <w:t>.</w:t>
      </w:r>
    </w:p>
    <w:p>
      <w:pPr>
        <w:pStyle w:val="ListParagraph"/>
        <w:ind w:start="1069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start="1069" w:end="0"/>
        <w:contextualSpacing/>
        <w:jc w:val="both"/>
        <w:rPr>
          <w:rFonts w:ascii="Tahoma" w:hAnsi="Tahoma" w:cs="Tahoma"/>
        </w:rPr>
      </w:pPr>
      <w:hyperlink r:id="rId54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159/22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אבו תאיה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02.03.2022</w:t>
      </w:r>
      <w:r>
        <w:rPr>
          <w:rFonts w:cs="Tahoma" w:ascii="Tahoma" w:hAnsi="Tahoma"/>
          <w:rtl w:val="true"/>
        </w:rPr>
        <w:t xml:space="preserve">)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>המשיב הורשע על יסוד הודאתו בשתי עבירות של פציעה בנסיבות מחמירות ממניע של גזענות או עוינות כלפי 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בתקופת חודש הרמדאן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Tahoma" w:hAnsi="Tahoma" w:cs="Tahoma"/>
          <w:rtl w:val="true"/>
        </w:rPr>
        <w:t>במהלך השבת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הלכו שני המתלוננים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בעלי חזות יהודית חרדית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ברח</w:t>
      </w:r>
      <w:r>
        <w:rPr>
          <w:rFonts w:cs="Tahoma" w:ascii="Tahoma" w:hAnsi="Tahoma"/>
          <w:rtl w:val="true"/>
        </w:rPr>
        <w:t xml:space="preserve">' </w:t>
      </w:r>
      <w:r>
        <w:rPr>
          <w:rFonts w:ascii="Tahoma" w:hAnsi="Tahoma" w:cs="Tahoma"/>
          <w:rtl w:val="true"/>
        </w:rPr>
        <w:t>דרך שכם בירושלים בדרכם להתפלל בכותל המערבי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הגיע ברכבו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יצא ממנו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והיכה את המתלוננים בפניהם באמצעות חפץ חד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המתלוננים שלף אקדח שנשא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כיוון אותו אל עבר המשיב ושני המתלוננים השכיבו אותו על הקרקע לשם מסירתו למשטרה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צעירים נוספים שהגיעו פעלו כדי למלט את המשיב מידי המתלוננים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המתלוננים נזקקו לטיפול רפואי בשל פגיעתו של המשיב בהם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קמא קבע מתחם עונש הולם שנע בין </w:t>
      </w:r>
      <w:r>
        <w:rPr>
          <w:rFonts w:cs="Tahoma" w:ascii="Tahoma" w:hAnsi="Tahoma"/>
        </w:rPr>
        <w:t>10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 מאסר בפועל והשית על המשיב עונש של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 וענישה נלווית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העליון החמיר את עונשו </w:t>
      </w:r>
      <w:r>
        <w:rPr>
          <w:rFonts w:ascii="Tahoma" w:hAnsi="Tahoma" w:cs="Tahoma"/>
          <w:rtl w:val="true"/>
        </w:rPr>
        <w:t>של המשיב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במקום </w:t>
      </w:r>
      <w:r>
        <w:rPr>
          <w:rFonts w:cs="Tahoma" w:ascii="Tahoma" w:hAnsi="Tahoma"/>
        </w:rPr>
        <w:t>11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חודשים שנגזרו עליו בבית משפט קמא ונקבע כי הוא יפצה כל אחד מהמתלוננים בסכום של </w:t>
      </w:r>
      <w:r>
        <w:rPr>
          <w:rFonts w:cs="Tahoma" w:ascii="Tahoma" w:hAnsi="Tahoma"/>
        </w:rPr>
        <w:t>20,000</w:t>
      </w:r>
      <w:r>
        <w:rPr>
          <w:rFonts w:cs="Tahoma" w:ascii="Tahoma" w:hAnsi="Tahoma"/>
          <w:rtl w:val="true"/>
        </w:rPr>
        <w:t xml:space="preserve"> ₪.</w:t>
      </w:r>
    </w:p>
    <w:p>
      <w:pPr>
        <w:pStyle w:val="ListParagraph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/>
      </w:pPr>
      <w:r>
        <w:rPr>
          <w:rtl w:val="true"/>
        </w:rPr>
        <w:t>אשר לשיקולי אחידות בענישה אפנה גם ל</w:t>
      </w:r>
      <w:r>
        <w:rPr>
          <w:rtl w:val="true"/>
        </w:rPr>
        <w:t>עניינם של אברהים סלאימה ומוחמד קבאג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השניים הורשעו</w:t>
      </w:r>
      <w:r>
        <w:rPr>
          <w:rtl w:val="true"/>
        </w:rPr>
        <w:t xml:space="preserve">, </w:t>
      </w:r>
      <w:r>
        <w:rPr>
          <w:rtl w:val="true"/>
        </w:rPr>
        <w:t>בתום הליך הוכחות</w:t>
      </w:r>
      <w:r>
        <w:rPr>
          <w:rtl w:val="true"/>
        </w:rPr>
        <w:t xml:space="preserve">, </w:t>
      </w:r>
      <w:r>
        <w:rPr>
          <w:rtl w:val="true"/>
        </w:rPr>
        <w:t>בעבירות של חבלה בכוונה מחמירה ופגיעה במזיד ברכב</w:t>
      </w:r>
      <w:r>
        <w:rPr>
          <w:rtl w:val="true"/>
        </w:rPr>
        <w:t xml:space="preserve">, </w:t>
      </w:r>
      <w:r>
        <w:rPr>
          <w:rtl w:val="true"/>
        </w:rPr>
        <w:t>בגין חלקם באירוע מושא כתב האישום</w:t>
      </w:r>
      <w:r>
        <w:rPr>
          <w:rtl w:val="true"/>
        </w:rPr>
        <w:t xml:space="preserve">. </w:t>
      </w:r>
      <w:r>
        <w:rPr>
          <w:rtl w:val="true"/>
        </w:rPr>
        <w:t>לאחר שנהג רכב נפגעי העבירה איבד שליטה על הרכב ונתקע על מעקה אבן על גבי המדרכה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שעבר במקום במכוניתו</w:t>
      </w:r>
      <w:r>
        <w:rPr>
          <w:rtl w:val="true"/>
        </w:rPr>
        <w:t xml:space="preserve">, </w:t>
      </w:r>
      <w:r>
        <w:rPr>
          <w:rtl w:val="true"/>
        </w:rPr>
        <w:t>יצא מהמכונית</w:t>
      </w:r>
      <w:r>
        <w:rPr>
          <w:rtl w:val="true"/>
        </w:rPr>
        <w:t xml:space="preserve">, </w:t>
      </w:r>
      <w:r>
        <w:rPr>
          <w:rtl w:val="true"/>
        </w:rPr>
        <w:t>התקרב אל הרכב התקוע</w:t>
      </w:r>
      <w:r>
        <w:rPr>
          <w:rtl w:val="true"/>
        </w:rPr>
        <w:t xml:space="preserve">, </w:t>
      </w:r>
      <w:r>
        <w:rPr>
          <w:rtl w:val="true"/>
        </w:rPr>
        <w:t>אסף בידו אבן ויידה אותה לעברו של נהג הרכב דרך דלת הנהג הפתוחה</w:t>
      </w:r>
      <w:r>
        <w:rPr>
          <w:rtl w:val="true"/>
        </w:rPr>
        <w:t xml:space="preserve">, </w:t>
      </w:r>
      <w:r>
        <w:rPr>
          <w:rtl w:val="true"/>
        </w:rPr>
        <w:t>ממרחק של כשני מטרים</w:t>
      </w:r>
      <w:r>
        <w:rPr>
          <w:rtl w:val="true"/>
        </w:rPr>
        <w:t xml:space="preserve">. </w:t>
      </w:r>
      <w:r>
        <w:rPr>
          <w:rtl w:val="true"/>
        </w:rPr>
        <w:t>מייד לאחר מכן</w:t>
      </w:r>
      <w:r>
        <w:rPr>
          <w:rtl w:val="true"/>
        </w:rPr>
        <w:t xml:space="preserve">, </w:t>
      </w:r>
      <w:r>
        <w:rPr>
          <w:rtl w:val="true"/>
        </w:rPr>
        <w:t>הרים מוחמד אבן נוספת ויידה אותה לעברו של נהג הרכב ממרחק של מטר אחד בלבד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הגיע איברהים בריצה אל רכב נפגעי העבירה</w:t>
      </w:r>
      <w:r>
        <w:rPr>
          <w:rtl w:val="true"/>
        </w:rPr>
        <w:t xml:space="preserve">, </w:t>
      </w:r>
      <w:r>
        <w:rPr>
          <w:rtl w:val="true"/>
        </w:rPr>
        <w:t>לאחר שזה נתקע על המדרכה</w:t>
      </w:r>
      <w:r>
        <w:rPr>
          <w:rtl w:val="true"/>
        </w:rPr>
        <w:t xml:space="preserve">, </w:t>
      </w:r>
      <w:r>
        <w:rPr>
          <w:rtl w:val="true"/>
        </w:rPr>
        <w:t>וריסס לתוכו</w:t>
      </w:r>
      <w:r>
        <w:rPr>
          <w:rtl w:val="true"/>
        </w:rPr>
        <w:t xml:space="preserve">, </w:t>
      </w:r>
      <w:r>
        <w:rPr>
          <w:rtl w:val="true"/>
        </w:rPr>
        <w:t>ממרחק של סנטימטרים ספורים</w:t>
      </w:r>
      <w:r>
        <w:rPr>
          <w:rtl w:val="true"/>
        </w:rPr>
        <w:t xml:space="preserve">, </w:t>
      </w:r>
      <w:r>
        <w:rPr>
          <w:rtl w:val="true"/>
        </w:rPr>
        <w:t>גז פלפל דרך חלון המושב הקדמי ימינה</w:t>
      </w:r>
      <w:r>
        <w:rPr>
          <w:rtl w:val="true"/>
        </w:rPr>
        <w:t xml:space="preserve">. </w:t>
      </w:r>
      <w:r>
        <w:rPr>
          <w:rtl w:val="true"/>
        </w:rPr>
        <w:t>השניים ברחו מהזירה לאחר הגעת השוטר למקום והירי שביצע מאקדחו באוויר</w:t>
      </w:r>
      <w:r>
        <w:rPr>
          <w:rtl w:val="true"/>
        </w:rPr>
        <w:t xml:space="preserve">. </w:t>
      </w:r>
      <w:r>
        <w:rPr>
          <w:rtl w:val="true"/>
        </w:rPr>
        <w:t>מוחמד אף הורשע בעבירה של הפרת הוראה חוקית של תנאי מעצר הבית שהוחלו עליו ובעבירה של שיבוש מהלכי משפט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 xml:space="preserve">בית משפט קמא </w:t>
      </w:r>
      <w:r>
        <w:rPr>
          <w:rtl w:val="true"/>
        </w:rPr>
        <w:t xml:space="preserve">קבע בעניינם של השניים מתחם עונש שנע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שנים והשית על כל אחד מהם עונש של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לתקופה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פיצוי כספי בסך של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לנפגע העבירה א</w:t>
      </w:r>
      <w:r>
        <w:rPr>
          <w:rtl w:val="true"/>
        </w:rPr>
        <w:t xml:space="preserve">', </w:t>
      </w:r>
      <w:r>
        <w:rPr>
          <w:rtl w:val="true"/>
        </w:rPr>
        <w:t xml:space="preserve">וכן פיצוי כספי בסך של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לכל אחד משני נפגעי העבירה הנוספים</w:t>
      </w:r>
      <w:r>
        <w:rPr>
          <w:rtl w:val="true"/>
        </w:rPr>
        <w:t xml:space="preserve">. </w:t>
      </w:r>
      <w:r>
        <w:rPr>
          <w:rtl w:val="true"/>
        </w:rPr>
        <w:t>בית המשפט העליון החמיר בעונשו של מוחמד</w:t>
      </w:r>
      <w:r>
        <w:rPr>
          <w:rtl w:val="true"/>
        </w:rPr>
        <w:t xml:space="preserve">, </w:t>
      </w:r>
      <w:r>
        <w:rPr>
          <w:rtl w:val="true"/>
        </w:rPr>
        <w:t xml:space="preserve">לאור חלקו </w:t>
      </w:r>
      <w:r>
        <w:rPr>
          <w:rtl w:val="true"/>
        </w:rPr>
        <w:t xml:space="preserve">המשמעותי יותר באירוע </w:t>
      </w:r>
      <w:r>
        <w:rPr>
          <w:rtl w:val="true"/>
        </w:rPr>
        <w:t>–</w:t>
      </w:r>
      <w:r>
        <w:rPr>
          <w:rtl w:val="true"/>
        </w:rPr>
        <w:t xml:space="preserve"> שני יידויי אבנים מטווח אפס לעבר גופו של אדם בעודו לכוד ברכב בידי קבוצת פורעים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2018/23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סלאימה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12.10.2023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בדומה לנאשם</w:t>
      </w:r>
      <w:r>
        <w:rPr>
          <w:rtl w:val="true"/>
        </w:rPr>
        <w:t xml:space="preserve">, </w:t>
      </w:r>
      <w:r>
        <w:rPr>
          <w:rtl w:val="true"/>
        </w:rPr>
        <w:t>גם מוחמד ואיברהים הורשעו במעורבות במעשים בצוותא חדא</w:t>
      </w:r>
      <w:r>
        <w:rPr>
          <w:rtl w:val="true"/>
        </w:rPr>
        <w:t xml:space="preserve">. </w:t>
      </w:r>
      <w:r>
        <w:rPr>
          <w:rtl w:val="true"/>
        </w:rPr>
        <w:t>הם הצטרפו להתפרעות לאחר תחילתה</w:t>
      </w:r>
      <w:r>
        <w:rPr>
          <w:rtl w:val="true"/>
        </w:rPr>
        <w:t xml:space="preserve">, </w:t>
      </w:r>
      <w:r>
        <w:rPr>
          <w:rtl w:val="true"/>
        </w:rPr>
        <w:t>כחמש מאות מטרים מצומת רוקפלר</w:t>
      </w:r>
      <w:r>
        <w:rPr>
          <w:rtl w:val="true"/>
        </w:rPr>
        <w:t xml:space="preserve">, </w:t>
      </w:r>
      <w:r>
        <w:rPr>
          <w:rtl w:val="true"/>
        </w:rPr>
        <w:t>בשלב זו תועד הנאשם כחלק מההתפרעות</w:t>
      </w:r>
      <w:r>
        <w:rPr>
          <w:rtl w:val="true"/>
        </w:rPr>
        <w:t xml:space="preserve">. </w:t>
      </w:r>
      <w:r>
        <w:rPr>
          <w:rtl w:val="true"/>
        </w:rPr>
        <w:t>בשונה מהנאשם</w:t>
      </w:r>
      <w:r>
        <w:rPr>
          <w:rtl w:val="true"/>
        </w:rPr>
        <w:t xml:space="preserve">, </w:t>
      </w:r>
      <w:r>
        <w:rPr>
          <w:rtl w:val="true"/>
        </w:rPr>
        <w:t>מוחמד וסאלימה לא היו בין הרודפים אחר הרכב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בעוד הנאשם יידה אבן על חלקו האחורי של הרכב ממרחק של פחות ממטר</w:t>
      </w:r>
      <w:r>
        <w:rPr>
          <w:rtl w:val="true"/>
        </w:rPr>
        <w:t xml:space="preserve">, </w:t>
      </w:r>
      <w:r>
        <w:rPr>
          <w:rtl w:val="true"/>
        </w:rPr>
        <w:t>מוחמד ואיברהים פגעו ישירות בנפגע העבירה א</w:t>
      </w:r>
      <w:r>
        <w:rPr>
          <w:rtl w:val="true"/>
        </w:rPr>
        <w:t xml:space="preserve">' </w:t>
      </w:r>
      <w:r>
        <w:rPr>
          <w:rtl w:val="true"/>
        </w:rPr>
        <w:t>מטווח קצר</w:t>
      </w:r>
      <w:r>
        <w:rPr>
          <w:rtl w:val="true"/>
        </w:rPr>
        <w:t xml:space="preserve">, </w:t>
      </w:r>
      <w:r>
        <w:rPr>
          <w:rtl w:val="true"/>
        </w:rPr>
        <w:t xml:space="preserve">בעודו לכוד ברכב שנתקע </w:t>
      </w:r>
      <w:r>
        <w:rPr>
          <w:rtl w:val="true"/>
        </w:rPr>
        <w:t>(</w:t>
      </w:r>
      <w:r>
        <w:rPr>
          <w:rtl w:val="true"/>
        </w:rPr>
        <w:t xml:space="preserve">מוחמד </w:t>
      </w:r>
      <w:r>
        <w:rPr>
          <w:rtl w:val="true"/>
        </w:rPr>
        <w:t>–</w:t>
      </w:r>
      <w:r>
        <w:rPr>
          <w:rtl w:val="true"/>
        </w:rPr>
        <w:t xml:space="preserve"> יידוי אבנים פעמיים דרך דלת הנהג הפתוחה וסליאמה </w:t>
      </w:r>
      <w:r>
        <w:rPr>
          <w:rtl w:val="true"/>
        </w:rPr>
        <w:t>–</w:t>
      </w:r>
      <w:r>
        <w:rPr>
          <w:rtl w:val="true"/>
        </w:rPr>
        <w:t xml:space="preserve"> ריסוס גז פלפל ממרחק של סנטימטרים ספורים דרך חלון דלת הנהג</w:t>
      </w:r>
      <w:r>
        <w:rPr>
          <w:rtl w:val="true"/>
        </w:rPr>
        <w:t xml:space="preserve">), </w:t>
      </w:r>
      <w:r>
        <w:rPr>
          <w:rtl w:val="true"/>
        </w:rPr>
        <w:t>כך שחומרת מעשיהם גבוהה יותר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>עוד אפנה לעניינו של נ</w:t>
      </w:r>
      <w:r>
        <w:rPr>
          <w:rtl w:val="true"/>
        </w:rPr>
        <w:t xml:space="preserve">', </w:t>
      </w:r>
      <w:r>
        <w:rPr>
          <w:rtl w:val="true"/>
        </w:rPr>
        <w:t xml:space="preserve">הקטין שהיה מעורב בפרשה </w:t>
      </w:r>
      <w:r>
        <w:rPr>
          <w:rtl w:val="true"/>
        </w:rPr>
        <w:t>–</w:t>
      </w:r>
      <w:r>
        <w:rPr>
          <w:rtl w:val="true"/>
        </w:rPr>
        <w:t xml:space="preserve"> ב</w:t>
      </w:r>
      <w:hyperlink r:id="rId5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47436-05-21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פלוני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16.3.22</w:t>
      </w:r>
      <w:r>
        <w:rPr>
          <w:rtl w:val="true"/>
        </w:rPr>
        <w:t xml:space="preserve">).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 יסוד הודאתו</w:t>
      </w:r>
      <w:r>
        <w:rPr>
          <w:rtl w:val="true"/>
        </w:rPr>
        <w:t xml:space="preserve">, </w:t>
      </w:r>
      <w:r>
        <w:rPr>
          <w:rtl w:val="true"/>
        </w:rPr>
        <w:t>בעבירה של מעשה טרור של ניסיון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של יידוי אבן לעבר כלי תחבורה </w:t>
      </w:r>
      <w:r>
        <w:rPr>
          <w:rtl w:val="true"/>
        </w:rPr>
        <w:t xml:space="preserve">ועבירה </w:t>
      </w:r>
      <w:r>
        <w:rPr>
          <w:rtl w:val="true"/>
        </w:rPr>
        <w:t>של חבלה במזיד ברכב מנועי</w:t>
      </w:r>
      <w:r>
        <w:rPr>
          <w:rtl w:val="true"/>
        </w:rPr>
        <w:t xml:space="preserve">. </w:t>
      </w:r>
      <w:r>
        <w:rPr>
          <w:rtl w:val="true"/>
        </w:rPr>
        <w:t>כעולה מעובדות כתב האישום המתוקן בעניינו של נ</w:t>
      </w:r>
      <w:r>
        <w:rPr>
          <w:rtl w:val="true"/>
        </w:rPr>
        <w:t xml:space="preserve">', </w:t>
      </w:r>
      <w:r>
        <w:rPr>
          <w:rtl w:val="true"/>
        </w:rPr>
        <w:t>בשלב בו נתקע רכב נפגעי העבירה בפקק הוא רץ לעבר הרכב עם אבן בידו</w:t>
      </w:r>
      <w:r>
        <w:rPr>
          <w:rtl w:val="true"/>
        </w:rPr>
        <w:t xml:space="preserve">, </w:t>
      </w:r>
      <w:r>
        <w:rPr>
          <w:rtl w:val="true"/>
        </w:rPr>
        <w:t>פתח את הדלת האחורית של הרכב וניסה ליידות אבן פנימה</w:t>
      </w:r>
      <w:r>
        <w:rPr>
          <w:rtl w:val="true"/>
        </w:rPr>
        <w:t xml:space="preserve">. </w:t>
      </w:r>
      <w:r>
        <w:rPr>
          <w:rtl w:val="true"/>
        </w:rPr>
        <w:t>הוא המשיך לרדוף אחרי הרכב ויידה לעברו את האבן שבידו</w:t>
      </w:r>
      <w:r>
        <w:rPr>
          <w:rtl w:val="true"/>
        </w:rPr>
        <w:t xml:space="preserve">. </w:t>
      </w:r>
      <w:r>
        <w:rPr>
          <w:rtl w:val="true"/>
        </w:rPr>
        <w:t>הוא גם רץ לעבר הרכב</w:t>
      </w:r>
      <w:r>
        <w:rPr>
          <w:rtl w:val="true"/>
        </w:rPr>
        <w:t xml:space="preserve">, </w:t>
      </w:r>
      <w:r>
        <w:rPr>
          <w:rtl w:val="true"/>
        </w:rPr>
        <w:t>כשדלת הנהג פתוחה ובעט בנהג</w:t>
      </w:r>
      <w:r>
        <w:rPr>
          <w:rtl w:val="true"/>
        </w:rPr>
        <w:t xml:space="preserve">, </w:t>
      </w:r>
      <w:r>
        <w:rPr>
          <w:rtl w:val="true"/>
        </w:rPr>
        <w:t>ובהמשך הרים אבן וזרקה אל המושב האחורי</w:t>
      </w:r>
      <w:r>
        <w:rPr>
          <w:rtl w:val="true"/>
        </w:rPr>
        <w:t xml:space="preserve">. </w:t>
      </w:r>
      <w:r>
        <w:rPr>
          <w:rtl w:val="true"/>
        </w:rPr>
        <w:t>הושת על נ</w:t>
      </w:r>
      <w:r>
        <w:rPr>
          <w:rtl w:val="true"/>
        </w:rPr>
        <w:t xml:space="preserve">' </w:t>
      </w:r>
      <w:r>
        <w:rPr>
          <w:rtl w:val="true"/>
        </w:rPr>
        <w:t xml:space="preserve">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לכל אחד מהמתלוננים בסך של </w:t>
      </w:r>
      <w:r>
        <w:rPr/>
        <w:t>8,000</w:t>
      </w:r>
      <w:r>
        <w:rPr>
          <w:rtl w:val="true"/>
        </w:rPr>
        <w:t xml:space="preserve"> ₪. </w:t>
      </w:r>
      <w:r>
        <w:rPr>
          <w:rtl w:val="true"/>
        </w:rPr>
        <w:t>אף שחומרת מעשיו של נ</w:t>
      </w:r>
      <w:r>
        <w:rPr>
          <w:rtl w:val="true"/>
        </w:rPr>
        <w:t xml:space="preserve">' </w:t>
      </w:r>
      <w:r>
        <w:rPr>
          <w:rtl w:val="true"/>
        </w:rPr>
        <w:t>גבוהה מחומרת מעשיו של 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בשונה מהנאשם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הורשע בעבירת מעשה טרור של ניסיון חבלה חמורה בנסיבות מחמירות ולא בעבירת מעשה טרור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>לעניין נסיבות שאינן 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הורשע על יסוד הודאתו</w:t>
      </w:r>
      <w:r>
        <w:rPr>
          <w:rtl w:val="true"/>
        </w:rPr>
        <w:t xml:space="preserve">, </w:t>
      </w:r>
      <w:r>
        <w:rPr>
          <w:rtl w:val="true"/>
        </w:rPr>
        <w:t>לאחר שקיבל אחריות והביע חרטה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כמו כן נלקח בחשבון גילו הצעיר בעת האירוע </w:t>
      </w:r>
      <w:r>
        <w:rPr>
          <w:rtl w:val="true"/>
        </w:rPr>
        <w:t>(</w:t>
      </w:r>
      <w:r>
        <w:rPr>
          <w:rtl w:val="true"/>
        </w:rPr>
        <w:t xml:space="preserve">הקטין היה 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ועשרה חודשים</w:t>
      </w:r>
      <w:r>
        <w:rPr>
          <w:rtl w:val="true"/>
        </w:rPr>
        <w:t xml:space="preserve">) </w:t>
      </w:r>
      <w:r>
        <w:rPr>
          <w:rtl w:val="true"/>
        </w:rPr>
        <w:t>וכן משך מעצרו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/>
      </w:pPr>
      <w:r>
        <w:rPr>
          <w:rtl w:val="true"/>
        </w:rPr>
        <w:t>בהתחשב בערכים החברתיים שנפגעו מביצוע העבירה</w:t>
      </w:r>
      <w:r>
        <w:rPr>
          <w:rtl w:val="true"/>
        </w:rPr>
        <w:t xml:space="preserve">, </w:t>
      </w:r>
      <w:r>
        <w:rPr>
          <w:rtl w:val="true"/>
        </w:rPr>
        <w:t>במידת הפגיעה בהם</w:t>
      </w:r>
      <w:r>
        <w:rPr>
          <w:rtl w:val="true"/>
        </w:rPr>
        <w:t xml:space="preserve">, </w:t>
      </w:r>
      <w:r>
        <w:rPr>
          <w:rtl w:val="true"/>
        </w:rPr>
        <w:t xml:space="preserve">במדיניות הענישה הנהוגה וכן בנסיבות הקשורות בביצוע העבירה – אני קובעת את מתחם העונש ההולם כנע בין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 מאסר בפועל ל</w:t>
      </w:r>
      <w:r>
        <w:rPr>
          <w:rtl w:val="true"/>
        </w:rPr>
        <w:t xml:space="preserve">-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/>
      </w:pPr>
      <w:r>
        <w:rPr>
          <w:rtl w:val="true"/>
        </w:rPr>
        <w:t>בהינתן הנזק והסבל שנגרמו לנפגעי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יש מקום לפסיקת פיצוי לזכותם לפי </w:t>
      </w:r>
      <w:hyperlink r:id="rId5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נפגעי העבירה טרם פוצו בידי הנאשם במסגרת התביעה האזרחית המתנהלת נגדו</w:t>
      </w:r>
      <w:r>
        <w:rPr>
          <w:rtl w:val="true"/>
        </w:rPr>
        <w:t xml:space="preserve">, </w:t>
      </w:r>
      <w:r>
        <w:rPr>
          <w:rtl w:val="true"/>
        </w:rPr>
        <w:t xml:space="preserve">ואין בעצם ניהולה של התביעה האזרחית כדי לייתר הפיצוי במסגרת ההליך דנן </w:t>
      </w:r>
      <w:r>
        <w:rPr>
          <w:rtl w:val="true"/>
        </w:rPr>
        <w:t>(</w:t>
      </w:r>
      <w:hyperlink r:id="rId59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קארין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בוקובזה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 דינה של השופטת חיות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159/22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 ישראל 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אבו תאיה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5"/>
        </w:numPr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 עונשו של הנאשם בתוך מתחם העונש ההולם</w:t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ind w:hanging="360" w:start="360" w:end="0"/>
        <w:jc w:val="both"/>
        <w:rPr/>
      </w:pPr>
      <w:r>
        <w:rPr>
          <w:rtl w:val="true"/>
        </w:rPr>
        <w:t>לאחר קביעת מתחם העונש ההולם על בית המשפט לגזור את עונשו של הנאשם בתוך מתחם זה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להוראות </w:t>
      </w:r>
      <w:hyperlink r:id="rId6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יא</w:t>
        </w:r>
      </w:hyperlink>
      <w:r>
        <w:rPr>
          <w:rtl w:val="true"/>
        </w:rPr>
        <w:t xml:space="preserve"> וסעיף </w:t>
      </w:r>
      <w:hyperlink r:id="rId62"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יב</w:t>
        </w:r>
      </w:hyperlink>
      <w:r>
        <w:rPr>
          <w:rtl w:val="true"/>
        </w:rPr>
        <w:t xml:space="preserve"> ל</w:t>
      </w:r>
      <w:hyperlink r:id="rId6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27.5.2002</w:t>
      </w:r>
      <w:r>
        <w:rPr>
          <w:rtl w:val="true"/>
        </w:rPr>
        <w:t xml:space="preserve"> –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שחייו לפניו</w:t>
      </w:r>
      <w:r>
        <w:rPr>
          <w:rtl w:val="true"/>
        </w:rPr>
        <w:t xml:space="preserve">. </w:t>
      </w:r>
      <w:r>
        <w:rPr>
          <w:rtl w:val="true"/>
        </w:rPr>
        <w:t>זהו מעצרו הראשון</w:t>
      </w:r>
      <w:r>
        <w:rPr>
          <w:rtl w:val="true"/>
        </w:rPr>
        <w:t xml:space="preserve">. </w:t>
      </w:r>
      <w:r>
        <w:rPr>
          <w:rtl w:val="true"/>
        </w:rPr>
        <w:t>הוא רווק</w:t>
      </w:r>
      <w:r>
        <w:rPr>
          <w:rtl w:val="true"/>
        </w:rPr>
        <w:t xml:space="preserve">, </w:t>
      </w:r>
      <w:r>
        <w:rPr>
          <w:rtl w:val="true"/>
        </w:rPr>
        <w:t>המתגורר עם משפחתו הגרעינית</w:t>
      </w:r>
      <w:r>
        <w:rPr>
          <w:rtl w:val="true"/>
        </w:rPr>
        <w:t xml:space="preserve">, </w:t>
      </w:r>
      <w:r>
        <w:rPr>
          <w:rtl w:val="true"/>
        </w:rPr>
        <w:t>שתוארה כמתפקדת</w:t>
      </w:r>
      <w:r>
        <w:rPr>
          <w:rtl w:val="true"/>
        </w:rPr>
        <w:t xml:space="preserve">. </w:t>
      </w:r>
      <w:r>
        <w:rPr>
          <w:rtl w:val="true"/>
        </w:rPr>
        <w:t>הנאשם לא השלים את חוק לימודיו</w:t>
      </w:r>
      <w:r>
        <w:rPr>
          <w:rtl w:val="true"/>
        </w:rPr>
        <w:t xml:space="preserve">, </w:t>
      </w:r>
      <w:r>
        <w:rPr>
          <w:rtl w:val="true"/>
        </w:rPr>
        <w:t>ונשר מבית הספר בכיתה י</w:t>
      </w:r>
      <w:r>
        <w:rPr>
          <w:rtl w:val="true"/>
        </w:rPr>
        <w:t xml:space="preserve">', </w:t>
      </w:r>
      <w:r>
        <w:rPr>
          <w:rtl w:val="true"/>
        </w:rPr>
        <w:t>אז החל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לעבוד עם אביו בתחום האינסטלציה</w:t>
      </w:r>
      <w:r>
        <w:rPr>
          <w:rtl w:val="true"/>
        </w:rPr>
        <w:t xml:space="preserve">. </w:t>
      </w:r>
      <w:r>
        <w:rPr>
          <w:rtl w:val="true"/>
        </w:rPr>
        <w:t xml:space="preserve">מאז האירוע מושא כתב האישום מתמודד הנאשם עם </w:t>
      </w:r>
      <w:r>
        <w:rPr>
          <w:rtl w:val="true"/>
        </w:rPr>
        <w:t>אתגרים בריאותיים כתוצאה מפציעתו</w:t>
      </w:r>
      <w:r>
        <w:rPr>
          <w:rtl w:val="true"/>
        </w:rPr>
        <w:t xml:space="preserve"> שפורטו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>הנאשם לא קיבל אחריות על מעשיו</w:t>
      </w:r>
      <w:r>
        <w:rPr>
          <w:rtl w:val="true"/>
        </w:rPr>
        <w:t xml:space="preserve">, </w:t>
      </w:r>
      <w:r>
        <w:rPr>
          <w:rtl w:val="true"/>
        </w:rPr>
        <w:t>ולא נחסך הצורך בשמיעת ראיות בעניינו</w:t>
      </w:r>
      <w:r>
        <w:rPr>
          <w:rtl w:val="true"/>
        </w:rPr>
        <w:t xml:space="preserve">, </w:t>
      </w:r>
      <w:r>
        <w:rPr>
          <w:rtl w:val="true"/>
        </w:rPr>
        <w:t>אף כי התייתרה שמיעת נפגעי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>
          <w:rtl w:val="true"/>
        </w:rPr>
        <w:t>מכחיש</w:t>
      </w:r>
      <w:r>
        <w:rPr>
          <w:rtl w:val="true"/>
        </w:rPr>
        <w:t xml:space="preserve"> את ביצוע העבירות מושא כתב האישום</w:t>
      </w:r>
      <w:r>
        <w:rPr>
          <w:rtl w:val="true"/>
        </w:rPr>
        <w:t xml:space="preserve"> וטוען כי לא היה מעורב באירוע באופן אקטיבי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 רואה בעצמו קרבן של האירוע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שירות המבחן התרשם </w:t>
      </w:r>
      <w:r>
        <w:rPr>
          <w:rtl w:val="true"/>
        </w:rPr>
        <w:t>כי הנאשם אינו מכיר במעשיו ואינו מגלה אמפתיה כלפי נפגעי העבירה</w:t>
      </w:r>
      <w:r>
        <w:rPr>
          <w:rtl w:val="true"/>
        </w:rPr>
        <w:t xml:space="preserve">, </w:t>
      </w:r>
      <w:r>
        <w:rPr>
          <w:rtl w:val="true"/>
        </w:rPr>
        <w:t xml:space="preserve">כי לנאשם אישיות </w:t>
      </w:r>
      <w:r>
        <w:rPr>
          <w:rtl w:val="true"/>
        </w:rPr>
        <w:t>בלתי מגובשת</w:t>
      </w:r>
      <w:r>
        <w:rPr>
          <w:rtl w:val="true"/>
        </w:rPr>
        <w:t xml:space="preserve">, </w:t>
      </w:r>
      <w:r>
        <w:rPr>
          <w:rtl w:val="true"/>
        </w:rPr>
        <w:t>כי הסיכון כי הנאשם יהיה מעורב במעשי אלימות גבוה</w:t>
      </w:r>
      <w:r>
        <w:rPr>
          <w:rtl w:val="true"/>
        </w:rPr>
        <w:t xml:space="preserve">, </w:t>
      </w:r>
      <w:r>
        <w:rPr>
          <w:rtl w:val="true"/>
        </w:rPr>
        <w:t>וכן כי קיימת מסוכנות גבוהה לאלימות חמורה</w:t>
      </w:r>
      <w:r>
        <w:rPr>
          <w:rtl w:val="true"/>
        </w:rPr>
        <w:t xml:space="preserve">. </w:t>
      </w:r>
      <w:r>
        <w:rPr>
          <w:rtl w:val="true"/>
        </w:rPr>
        <w:t>כעולה מגיליון רישומו הפלילי העדכני</w:t>
      </w:r>
      <w:r>
        <w:rPr>
          <w:rtl w:val="true"/>
        </w:rPr>
        <w:t xml:space="preserve">, </w:t>
      </w:r>
      <w:r>
        <w:rPr>
          <w:rtl w:val="true"/>
        </w:rPr>
        <w:t xml:space="preserve">הוגש נגד הנאשם כתב אישום במסגרת </w:t>
      </w:r>
      <w:hyperlink r:id="rId6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57200-05-23</w:t>
        </w:r>
      </w:hyperlink>
      <w:r>
        <w:rPr>
          <w:rtl w:val="true"/>
        </w:rPr>
        <w:t xml:space="preserve"> </w:t>
      </w:r>
      <w:r>
        <w:rPr>
          <w:rtl w:val="true"/>
        </w:rPr>
        <w:t>בגין עבירות גניבה</w:t>
      </w:r>
      <w:r>
        <w:rPr>
          <w:rtl w:val="true"/>
        </w:rPr>
        <w:t xml:space="preserve">, </w:t>
      </w:r>
      <w:r>
        <w:rPr>
          <w:rtl w:val="true"/>
        </w:rPr>
        <w:t>תקיפת שוטר והחזקת אגרופן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שיקומית בעניינו של הנאשם והמליץ על ענישה מוחשית שתהווה גורם מרתיע ומציב גבול</w:t>
      </w:r>
      <w:r>
        <w:rPr>
          <w:rtl w:val="true"/>
        </w:rPr>
        <w:t>.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ind w:start="360" w:end="0"/>
        <w:jc w:val="both"/>
        <w:rPr/>
      </w:pP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לשקול לחובת </w:t>
      </w:r>
      <w:r>
        <w:rPr>
          <w:rtl w:val="true"/>
        </w:rPr>
        <w:t>הנאשם</w:t>
      </w:r>
      <w:r>
        <w:rPr>
          <w:rtl w:val="true"/>
        </w:rPr>
        <w:t xml:space="preserve"> את הצורך בהרתעתו</w:t>
      </w:r>
      <w:r>
        <w:rPr>
          <w:rFonts w:cs="Tahoma" w:ascii="Tahoma" w:hAnsi="Tahoma"/>
          <w:rtl w:val="true"/>
        </w:rPr>
        <w:t xml:space="preserve">, </w:t>
      </w:r>
      <w:r>
        <w:rPr>
          <w:rtl w:val="true"/>
        </w:rPr>
        <w:t>בהינתן חומרת העבירות בהן נמצא אשם</w:t>
      </w:r>
      <w:r>
        <w:rPr>
          <w:rtl w:val="true"/>
        </w:rPr>
        <w:t xml:space="preserve">, </w:t>
      </w:r>
      <w:r>
        <w:rPr>
          <w:rtl w:val="true"/>
        </w:rPr>
        <w:t>והמניע הגזעני שביסוד מעשיו</w:t>
      </w:r>
      <w:r>
        <w:rPr>
          <w:rtl w:val="true"/>
        </w:rPr>
        <w:t xml:space="preserve">, </w:t>
      </w:r>
      <w:r>
        <w:rPr>
          <w:rtl w:val="true"/>
        </w:rPr>
        <w:t>תוך מתן דגש</w:t>
      </w:r>
      <w:r>
        <w:rPr>
          <w:rtl w:val="true"/>
        </w:rPr>
        <w:t xml:space="preserve"> גם בחשיבות הרתעת הרבים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לצד זאת יש להתחשב בתקופה הממושכת בה שהה הנאשם בתנאים מגבילים בפיקוח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החל מחודש פברואר </w:t>
      </w:r>
      <w:r>
        <w:rPr/>
        <w:t>2023</w:t>
      </w:r>
      <w:r>
        <w:rPr>
          <w:rtl w:val="true"/>
        </w:rPr>
        <w:t xml:space="preserve">. </w:t>
      </w:r>
    </w:p>
    <w:p>
      <w:pPr>
        <w:pStyle w:val="ListParagraph"/>
        <w:ind w:start="36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 דבר</w:t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6"/>
        </w:numPr>
        <w:ind w:hanging="360" w:start="360"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ולאחר שקלולם של מכלול הנסיבות לכף חומרה ולכף קולא</w:t>
      </w:r>
      <w:r>
        <w:rPr>
          <w:rtl w:val="true"/>
        </w:rPr>
        <w:t xml:space="preserve">, </w:t>
      </w:r>
      <w:r>
        <w:rPr>
          <w:rtl w:val="true"/>
        </w:rPr>
        <w:t>כפי שפורטו</w:t>
      </w:r>
      <w:r>
        <w:rPr>
          <w:rtl w:val="true"/>
        </w:rPr>
        <w:t xml:space="preserve">, </w:t>
      </w:r>
      <w:r>
        <w:rPr>
          <w:rtl w:val="true"/>
        </w:rPr>
        <w:t>אני מתרשמת</w:t>
      </w:r>
      <w:r>
        <w:rPr>
          <w:rtl w:val="true"/>
        </w:rPr>
        <w:t xml:space="preserve">, </w:t>
      </w:r>
      <w:r>
        <w:rPr>
          <w:rtl w:val="true"/>
        </w:rPr>
        <w:t>כי יש לגזור את עונשו של הנאשם בחלקו התחתון של מתחם העונש</w:t>
      </w:r>
      <w:r>
        <w:rPr>
          <w:rtl w:val="true"/>
        </w:rPr>
        <w:t xml:space="preserve">, </w:t>
      </w:r>
      <w:r>
        <w:rPr>
          <w:rtl w:val="true"/>
        </w:rPr>
        <w:t>אף כי לא בתחתית מתחם העונש</w:t>
      </w:r>
      <w:r>
        <w:rPr>
          <w:rtl w:val="true"/>
        </w:rPr>
        <w:t xml:space="preserve">, </w:t>
      </w:r>
      <w:r>
        <w:rPr>
          <w:rtl w:val="true"/>
        </w:rPr>
        <w:t>וגוזרת על הנאשם את העונשים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8"/>
        </w:numPr>
        <w:spacing w:lineRule="auto" w:line="360"/>
        <w:ind w:hanging="357" w:start="1434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הנאשם להתייצב לריצוי עונש המאסר שנגזר עליו ביום </w:t>
      </w:r>
      <w:r>
        <w:rPr>
          <w:rFonts w:cs="David" w:ascii="David" w:hAnsi="David"/>
        </w:rPr>
        <w:t>30.10</w:t>
      </w:r>
      <w:r>
        <w:rPr>
          <w:rFonts w:cs="David" w:ascii="David" w:hAnsi="David"/>
        </w:rPr>
        <w:t>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יתייצב בבית המעצר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הדרים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או במקום אחר על פי החלטת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 ועותק מפסק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3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 על תנאי למשך</w:t>
      </w:r>
      <w:r>
        <w:rPr>
          <w:rFonts w:ascii="David" w:hAnsi="David"/>
          <w:rtl w:val="true"/>
        </w:rPr>
        <w:t xml:space="preserve"> שמונה</w:t>
      </w:r>
      <w:r>
        <w:rPr>
          <w:rFonts w:ascii="David" w:hAnsi="David"/>
          <w:rtl w:val="true"/>
        </w:rPr>
        <w:t xml:space="preserve">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יישא בעונש זה אם בתקופה של שלוש שנים מיום שחרורו מן המאסר יעבור על עבירה  מהעבירות בהן הורשע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פיצוי בסך של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לכל אחד מנפגעי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בסך כולל של </w:t>
      </w:r>
      <w:r>
        <w:rPr>
          <w:rFonts w:cs="David" w:ascii="David" w:hAnsi="David"/>
        </w:rPr>
        <w:t>24,000</w:t>
      </w:r>
      <w:r>
        <w:rPr>
          <w:rFonts w:cs="David" w:ascii="David" w:hAnsi="David"/>
          <w:rtl w:val="true"/>
        </w:rPr>
        <w:t xml:space="preserve"> ₪),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ישולם בעשרה תשלומים חודשיים רצופים ושווים החל מביום </w:t>
      </w:r>
      <w:r>
        <w:rPr>
          <w:rFonts w:cs="David" w:ascii="David" w:hAnsi="David"/>
        </w:rPr>
        <w:t>5.11</w:t>
      </w:r>
      <w:r>
        <w:rPr>
          <w:rFonts w:cs="David" w:ascii="David" w:hAnsi="David"/>
        </w:rPr>
        <w:t>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אחד מתשעת החודשים העוקבים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פנינה 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76750-01-23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קוטוב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cs="David"/>
        <w:color w:val="000000"/>
      </w:rPr>
    </w:lvl>
  </w:abstractNum>
  <w:abstractNum w:abstractNumId="3">
    <w:lvl w:ilvl="0">
      <w:start w:val="13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David"/>
      </w:rPr>
    </w:lvl>
  </w:abstractNum>
  <w:abstractNum w:abstractNumId="5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cs="David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cs="David"/>
      <w:b w:val="false"/>
      <w:bCs w:val="false"/>
      <w:color w:val="000000"/>
      <w:sz w:val="24"/>
      <w:szCs w:val="24"/>
    </w:rPr>
  </w:style>
  <w:style w:type="character" w:styleId="WW8Num2z1">
    <w:name w:val="WW8Num2z1"/>
    <w:qFormat/>
    <w:rPr>
      <w:rFonts w:cs="Times New Roman"/>
      <w:color w:val="000000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>
      <w:rFonts w:ascii="Symbol" w:hAnsi="Symbol" w:eastAsia="Calibri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cs="David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cs="David"/>
      <w:kern w:val="2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360" w:before="0" w:after="160"/>
      <w:ind w:hanging="0" w:start="720" w:end="0"/>
      <w:contextualSpacing/>
      <w:jc w:val="both"/>
    </w:pPr>
    <w:rPr>
      <w:rFonts w:ascii="David" w:hAnsi="David" w:eastAsia="Calibri" w:cs="David"/>
      <w:kern w:val="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44f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b" TargetMode="External"/><Relationship Id="rId10" Type="http://schemas.openxmlformats.org/officeDocument/2006/relationships/hyperlink" Target="http://www.nevo.co.il/law/70301/40jc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141771" TargetMode="External"/><Relationship Id="rId13" Type="http://schemas.openxmlformats.org/officeDocument/2006/relationships/hyperlink" Target="http://www.nevo.co.il/law/141771/37" TargetMode="External"/><Relationship Id="rId14" Type="http://schemas.openxmlformats.org/officeDocument/2006/relationships/hyperlink" Target="http://www.nevo.co.il/law/141771/37.a" TargetMode="External"/><Relationship Id="rId15" Type="http://schemas.openxmlformats.org/officeDocument/2006/relationships/hyperlink" Target="http://www.nevo.co.il/law/70301/32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141771/37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144f" TargetMode="External"/><Relationship Id="rId20" Type="http://schemas.openxmlformats.org/officeDocument/2006/relationships/hyperlink" Target="http://www.nevo.co.il/case/29683204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8752891" TargetMode="External"/><Relationship Id="rId27" Type="http://schemas.openxmlformats.org/officeDocument/2006/relationships/hyperlink" Target="http://www.nevo.co.il/case/5823680" TargetMode="External"/><Relationship Id="rId28" Type="http://schemas.openxmlformats.org/officeDocument/2006/relationships/hyperlink" Target="http://www.nevo.co.il/case/5823680" TargetMode="External"/><Relationship Id="rId29" Type="http://schemas.openxmlformats.org/officeDocument/2006/relationships/hyperlink" Target="http://www.nevo.co.il/case/28296934" TargetMode="External"/><Relationship Id="rId30" Type="http://schemas.openxmlformats.org/officeDocument/2006/relationships/hyperlink" Target="http://www.nevo.co.il/case/28681545" TargetMode="External"/><Relationship Id="rId31" Type="http://schemas.openxmlformats.org/officeDocument/2006/relationships/hyperlink" Target="http://www.nevo.co.il/case/28889052" TargetMode="External"/><Relationship Id="rId32" Type="http://schemas.openxmlformats.org/officeDocument/2006/relationships/hyperlink" Target="http://www.nevo.co.il/case/27410855" TargetMode="External"/><Relationship Id="rId33" Type="http://schemas.openxmlformats.org/officeDocument/2006/relationships/hyperlink" Target="http://www.nevo.co.il/case/25647402" TargetMode="External"/><Relationship Id="rId34" Type="http://schemas.openxmlformats.org/officeDocument/2006/relationships/hyperlink" Target="http://www.nevo.co.il/case/21477553" TargetMode="External"/><Relationship Id="rId35" Type="http://schemas.openxmlformats.org/officeDocument/2006/relationships/hyperlink" Target="http://www.nevo.co.il/case/16900220" TargetMode="External"/><Relationship Id="rId36" Type="http://schemas.openxmlformats.org/officeDocument/2006/relationships/hyperlink" Target="http://www.nevo.co.il/law/141771/37.a" TargetMode="External"/><Relationship Id="rId37" Type="http://schemas.openxmlformats.org/officeDocument/2006/relationships/hyperlink" Target="http://www.nevo.co.il/case/25475821" TargetMode="External"/><Relationship Id="rId38" Type="http://schemas.openxmlformats.org/officeDocument/2006/relationships/hyperlink" Target="http://www.nevo.co.il/case/26489415" TargetMode="External"/><Relationship Id="rId39" Type="http://schemas.openxmlformats.org/officeDocument/2006/relationships/hyperlink" Target="http://www.nevo.co.il/case/29173557" TargetMode="External"/><Relationship Id="rId40" Type="http://schemas.openxmlformats.org/officeDocument/2006/relationships/hyperlink" Target="http://www.nevo.co.il/law/70301/413e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144f" TargetMode="External"/><Relationship Id="rId43" Type="http://schemas.openxmlformats.org/officeDocument/2006/relationships/hyperlink" Target="http://www.nevo.co.il/law/70301/144f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8296934" TargetMode="External"/><Relationship Id="rId46" Type="http://schemas.openxmlformats.org/officeDocument/2006/relationships/hyperlink" Target="http://www.nevo.co.il/case/28889052" TargetMode="External"/><Relationship Id="rId47" Type="http://schemas.openxmlformats.org/officeDocument/2006/relationships/hyperlink" Target="http://www.nevo.co.il/case/27733378" TargetMode="External"/><Relationship Id="rId48" Type="http://schemas.openxmlformats.org/officeDocument/2006/relationships/hyperlink" Target="http://www.nevo.co.il/case/27702531" TargetMode="External"/><Relationship Id="rId49" Type="http://schemas.openxmlformats.org/officeDocument/2006/relationships/hyperlink" Target="http://www.nevo.co.il/case/28697574" TargetMode="External"/><Relationship Id="rId50" Type="http://schemas.openxmlformats.org/officeDocument/2006/relationships/hyperlink" Target="http://www.nevo.co.il/case/29114746" TargetMode="External"/><Relationship Id="rId51" Type="http://schemas.openxmlformats.org/officeDocument/2006/relationships/hyperlink" Target="http://www.nevo.co.il/case/25991003" TargetMode="External"/><Relationship Id="rId52" Type="http://schemas.openxmlformats.org/officeDocument/2006/relationships/hyperlink" Target="http://www.nevo.co.il/case/27613505" TargetMode="External"/><Relationship Id="rId53" Type="http://schemas.openxmlformats.org/officeDocument/2006/relationships/hyperlink" Target="http://www.nevo.co.il/case/28463727" TargetMode="External"/><Relationship Id="rId54" Type="http://schemas.openxmlformats.org/officeDocument/2006/relationships/hyperlink" Target="http://www.nevo.co.il/case/28229994" TargetMode="External"/><Relationship Id="rId55" Type="http://schemas.openxmlformats.org/officeDocument/2006/relationships/hyperlink" Target="http://www.nevo.co.il/case/29474628" TargetMode="External"/><Relationship Id="rId56" Type="http://schemas.openxmlformats.org/officeDocument/2006/relationships/hyperlink" Target="http://www.nevo.co.il/case/27643417" TargetMode="External"/><Relationship Id="rId57" Type="http://schemas.openxmlformats.org/officeDocument/2006/relationships/hyperlink" Target="http://www.nevo.co.il/law/70301/77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1477594" TargetMode="External"/><Relationship Id="rId60" Type="http://schemas.openxmlformats.org/officeDocument/2006/relationships/hyperlink" Target="http://www.nevo.co.il/case/28229994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law/70301/40j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29683204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2024-09-18T06:38:00Z</dcterms:created>
  <dc:creator> </dc:creator>
  <dc:description/>
  <cp:keywords/>
  <dc:language>en-IL</dc:language>
  <cp:lastModifiedBy>h1</cp:lastModifiedBy>
  <dcterms:modified xsi:type="dcterms:W3CDTF">2024-09-18T06:38:00Z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קוטוב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29683204:2;28752891;5823680:2;28296934:2;28681545;28889052:2;27410855;25647402;21477553;16900220;25475821;26489415;29173557;27733378;27702531;28697574;29114746;25991003;27613505;28463727;28229994:2;29474628;27643417;21477594</vt:lpwstr>
  </property>
  <property fmtid="{D5CDD505-2E9C-101B-9397-08002B2CF9AE}" pid="9" name="CITY">
    <vt:lpwstr>י-ם</vt:lpwstr>
  </property>
  <property fmtid="{D5CDD505-2E9C-101B-9397-08002B2CF9AE}" pid="10" name="DATE">
    <vt:lpwstr>20240915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פנינה נויבירט</vt:lpwstr>
  </property>
  <property fmtid="{D5CDD505-2E9C-101B-9397-08002B2CF9AE}" pid="14" name="LAWLISTTMP1">
    <vt:lpwstr>70301/329.a.1;413e:2;144f:3;040c;40jc;040i;077;40ja;40jb</vt:lpwstr>
  </property>
  <property fmtid="{D5CDD505-2E9C-101B-9397-08002B2CF9AE}" pid="15" name="LAWLISTTMP2">
    <vt:lpwstr>141771/037;037.a</vt:lpwstr>
  </property>
  <property fmtid="{D5CDD505-2E9C-101B-9397-08002B2CF9AE}" pid="16" name="LAWYER">
    <vt:lpwstr>יעל איגרא;חמזה קוטינה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76750</vt:lpwstr>
  </property>
  <property fmtid="{D5CDD505-2E9C-101B-9397-08002B2CF9AE}" pid="23" name="NEWPARTB">
    <vt:lpwstr>01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390020240915</vt:lpwstr>
  </property>
  <property fmtid="{D5CDD505-2E9C-101B-9397-08002B2CF9AE}" pid="35" name="TYPE_N_DATE">
    <vt:lpwstr>39020240915</vt:lpwstr>
  </property>
  <property fmtid="{D5CDD505-2E9C-101B-9397-08002B2CF9AE}" pid="36" name="VOLUME">
    <vt:lpwstr/>
  </property>
  <property fmtid="{D5CDD505-2E9C-101B-9397-08002B2CF9AE}" pid="37" name="WORDNUMPAGES">
    <vt:lpwstr>15</vt:lpwstr>
  </property>
</Properties>
</file>