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7676-03-23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8"/>
        <w:gridCol w:w="5816"/>
      </w:tblGrid>
      <w:tr>
        <w:trPr>
          <w:trHeight w:val="295" w:hRule="atLeast"/>
        </w:trPr>
        <w:tc>
          <w:tcPr>
            <w:tcW w:w="8644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28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6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64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2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816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מוסטפא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בארין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מונתצר יוסף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28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גימפל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מסארווה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355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bookmarkStart w:id="8" w:name="PsakDin"/>
      <w:bookmarkEnd w:id="8"/>
      <w:r>
        <w:rPr>
          <w:rFonts w:cs="David" w:ascii="David" w:hAnsi="David"/>
          <w:sz w:val="28"/>
          <w:szCs w:val="28"/>
          <w:u w:val="single"/>
          <w:rtl w:val="true"/>
        </w:rPr>
        <w:t>(</w:t>
      </w:r>
      <w:r>
        <w:rPr>
          <w:rFonts w:ascii="David" w:hAnsi="David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David" w:ascii="David" w:hAnsi="David"/>
          <w:sz w:val="28"/>
          <w:szCs w:val="28"/>
          <w:u w:val="single"/>
        </w:rPr>
        <w:t>2</w:t>
      </w:r>
      <w:r>
        <w:rPr>
          <w:rFonts w:cs="David" w:ascii="David" w:hAnsi="David"/>
          <w:sz w:val="28"/>
          <w:szCs w:val="28"/>
          <w:u w:val="single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הודאתו במסגרת הסדר שלא כלל הסכמה אודות העונש בביצוע 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+ </w:t>
      </w:r>
      <w:hyperlink r:id="rId9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וכן בביצוע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במסגרת האישום הראשון בכתב האישום המתוקן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 האמור בחלק הכללי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ומוסטפא מחאג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נה הם קרובי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תושב הרשות שהיה בעל אישור כניסה לישראל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למתואר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פגש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באום אל פחם וביקש לרכוש ממנו תחמושת לרובה סער מסוג </w:t>
      </w:r>
      <w:r>
        <w:rPr>
          <w:rFonts w:cs="Times New Roman"/>
        </w:rPr>
        <w:t>M-16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הכדורים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למוסטפא והשניים סיכמו למכור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כשמתוך סכום זה יקבל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לאחר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בפרטי העיסקה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מוסטפא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נושא ומוביל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בצוותא חדא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ארגז ובו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החביא את הארגז בחורשה סמוכה לביתו ועדכן בכך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העביר את הכדורים לתיק גב אותו מסר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ובתמורה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מסר לידיו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ועזב את המקום כשהוא נושא ומוביל את התיק עם 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העביר למוסטפא את חלקו בעסקה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וביקש ממנו ארגז תחמושת נוסף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למוסטפא והשניים סיכמו שימכרו יחדיו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נוספים 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גם מתוך סכום זה יקבל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בהמשך לכך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בפרטי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זמן קצר לאחר מכן הגיע מוסטפא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נושא ומוביל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בצוותא חדא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ארגז ובו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הגיע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העביר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הכדורים מהארגז לתיק גב ומסר את התיק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בתמורה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העבר לידי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במזומן ועזב את המקום כשהוא נושא ומוביל את התיק עם 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מכן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העביר למוסטפא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חלקו בעסקה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וביקש ממנו ארבעה ארגזי תחמושת נוספים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למוסטפא אשר אמר שהוא יכול להשיג שני ארגזי תחמושת בלבד וסוכם בניהם כי ימכרו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לרובה תמורת </w:t>
      </w:r>
      <w:r>
        <w:rPr>
          <w:rFonts w:cs="Arial" w:ascii="Arial" w:hAnsi="Arial"/>
        </w:rPr>
        <w:t>18,000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כשמתוך הסכום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יקבל לידיו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חלקו בעסקה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עדכן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בפרטי העסקה ובהמשך לכך הגיע מוסטפא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נושא ומוביל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בצוותא חדא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שני ארגזים המכילים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לביתו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העביר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הכדורים לתיק גב אותו מסר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להסכם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הוציא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במזומן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דין ודברים בין השניים הסכים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לקבל את הסכום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לו את הכסף ועזב את המקום כשהוא נושא ומוביל את התיק עם הכדורים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העביר לידיו מוסטפא </w:t>
      </w:r>
      <w:r>
        <w:rPr>
          <w:rFonts w:cs="Arial" w:ascii="Arial" w:hAnsi="Arial"/>
        </w:rPr>
        <w:t>14,000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חלקו בעסקה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כל הכדורים שרכש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לאדם אחר 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ובתמורה קיבל </w:t>
      </w:r>
      <w:r>
        <w:rPr>
          <w:rFonts w:cs="Arial" w:ascii="Arial" w:hAnsi="Arial"/>
        </w:rPr>
        <w:t>2,200</w:t>
      </w:r>
      <w:r>
        <w:rPr>
          <w:rFonts w:cs="Arial" w:ascii="Arial" w:hAnsi="Arial"/>
          <w:rtl w:val="true"/>
        </w:rPr>
        <w:t xml:space="preserve"> ₪.     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צוין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 שהוא מצוי במעצר מאז יום </w:t>
      </w:r>
      <w:r>
        <w:rPr>
          <w:rFonts w:cs="Arial" w:ascii="Arial" w:hAnsi="Arial"/>
        </w:rPr>
        <w:t>15.2.2023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כי אומנם מדובר בשלוש עסקאות נשק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לנוכח זהות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זהות השיטה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זהות התחמושת וסמיכות הזמנים בין 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מתקיים קשר הדוק בין האירועים ולכן יש לקבוע מתחם עונש הולם אחד בגין כל המעשים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עמדה על החומרה שבעבירות הנשק וצוין כי 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אלמלא הייתה קיימת תופעה של החזקה בלתי חוקית בנשק לא היו מתבצעות עבירות אלימות באמצעות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עבירות הנשק נועדו להגן על הערכים החברתיים המוגנים של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חיי אדם והרכוש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שמדובר בתופעה שהפכה למכת מדינה ושיש הצדקה להגיב בענישה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והמאשימה הפנתה לפסיקה הדנה בחומרת עבירות הנשק ובמגמת ההחמרה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הוזכר שיש חשיבות בהענשת כל חוליה בשרשרת הפצת הנשק לצורך מיגור התופעה של החזקת הנשק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הוסיפה והתייחסה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שלמעשים קדם תכנון מוקדם ושאין מדובר באירוע ספונטני או מעידה רגעית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נטען שחלקו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העבירה היה 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כשהוא זה שיזם את הפנייה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ממנו את הכדורים והעביר אותם לשטחים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מכר אותם לאחר שזהותו אינה ידועה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שהעברת כמות כה גדולה של תחמושת לאחרים מהווה סכנה חמורה ביותר לביטחון הציבור והמדינה כשאין לדעת לאן התחמושת הגיעה ושניתן לעשות בה שימוש באירועים פליליים או ביטחוניים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נטען שישנה חומרה יתרה בכך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מכר את הכדורים בשטחי הרשות הפלסטינאית שם קיים סיכון רב יותר שיגיעו לידי ארגוני טרור או ישמשו לפעילות ביטחונית נגד אזרחים ישראלים או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הודגש כי נוכח העובדה שהתחמשות לא נתפסה אין לדעת היכן היא נמצאת ואיזה שימוש נעשה בה ולכן פוטנציאל הנזק הוא גבוה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שלא ברור מהן הנסיבות שהובילו את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לבצע את העבירה אולם כך או אחרת אין למעשים הצדקה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המאשימה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הבאה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47048-02-20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בסאם נסר 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01.02.2021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דובר בנאשם שהורשע על פי הודאתו בביצוע עבירות של </w:t>
      </w: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סחר ב</w:t>
      </w:r>
      <w:r>
        <w:rPr>
          <w:rFonts w:ascii="Arial" w:hAnsi="Arial" w:cs="Arial"/>
          <w:rtl w:val="true"/>
        </w:rPr>
        <w:t>נשק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ובעבירות </w:t>
      </w:r>
      <w:r>
        <w:rPr>
          <w:rFonts w:ascii="Arial" w:hAnsi="Arial" w:cs="Arial"/>
          <w:rtl w:val="true"/>
        </w:rPr>
        <w:t>נשיאה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הובלה והחזקה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שבשלוש הזדמנויות מכר לאדם אחר </w:t>
      </w:r>
      <w:r>
        <w:rPr>
          <w:rFonts w:cs="Arial" w:ascii="Arial" w:hAnsi="Arial"/>
        </w:rPr>
        <w:t>950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 xml:space="preserve"> וכן מחסנית תואמת לנשק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-16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בהזדמנות אחרת נסע ברכב כשברשותו </w:t>
      </w:r>
      <w:r>
        <w:rPr>
          <w:rFonts w:cs="Arial" w:ascii="Arial" w:hAnsi="Arial"/>
        </w:rPr>
        <w:t>346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אז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ובחיפוש בביתו אותרו </w:t>
      </w:r>
      <w:r>
        <w:rPr>
          <w:rFonts w:cs="Arial" w:ascii="Arial" w:hAnsi="Arial"/>
        </w:rPr>
        <w:t>272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כי מתחם הענישה ההולם נע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והוטלו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bookmarkStart w:id="12" w:name="casename_body"/>
      <w:r>
        <w:rPr>
          <w:rFonts w:ascii="Arial" w:hAnsi="Arial" w:cs="Arial"/>
          <w:rtl w:val="true"/>
        </w:rPr>
        <w:t xml:space="preserve">במסגרת </w:t>
      </w:r>
      <w:hyperlink r:id="rId13">
        <w:bookmarkEnd w:id="12"/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1878/21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נדחה ערעור על חומרת העונש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color w:val="000000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4956/13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עיסאוי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8.6.2014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הוכחות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החזק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נשיא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בערכאה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נדחה</w:t>
      </w:r>
      <w:r>
        <w:rPr>
          <w:color w:val="000000"/>
          <w:rtl w:val="true"/>
        </w:rPr>
        <w:t xml:space="preserve">.  </w:t>
      </w:r>
    </w:p>
    <w:p>
      <w:pPr>
        <w:pStyle w:val="ListParagraph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6999-09-22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 קאסם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17.4.2023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דובר בנאשם שהורשע על פי הודאתו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</w:t>
      </w:r>
      <w:r>
        <w:rPr>
          <w:rFonts w:ascii="Arial" w:hAnsi="Arial" w:cs="Arial"/>
          <w:rtl w:val="true"/>
        </w:rPr>
        <w:t xml:space="preserve"> עבירות של החזקת חלק של נשק או 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ונשיאה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הובלת חלק של נשק או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אירוע בו נהג ברכב בדרכו לשטחי האזור כשהוא נושא ברכב שקית ובה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מכלולים לנשק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-16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ושבעה ארגזי תחמושת שהכילו יחדיו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והוטל על הנאשם עונש של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color w:val="000000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9205/02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סלימאן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אלחרם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01.6.2003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>).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הרלוונטיים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5.56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ומכרם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להעברת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לרובה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הושלמה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לקשר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הוזכר כי בתאריך </w:t>
      </w:r>
      <w:r>
        <w:rPr>
          <w:rFonts w:cs="Arial" w:ascii="Arial" w:hAnsi="Arial"/>
        </w:rPr>
        <w:t>8.12.21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נכנס לתוקפו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הקובע כהוראת שעה עונש מזערי של רבע מהעונש הקבוע בחוק בגין 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צוין כי הואיל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ביצע את העבירה בחודש 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התיקון חל לגביו ולכן בית המשפט מחויב להשית עליו את העונש המזערי הקבוע בחוק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נטען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וחסך זמן 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אין קרבה לסייג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צוין שאין מקום לסטייה מטעמי שיקום שכן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הצביע על כך שהשתקם או שקיים סיכוי ממשי לשיקומו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הוזכר ששיקולי שיקום אינם חזות הכל ובצידם ניצבים שיקולי גמול והרתעה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ביקשה כי ייקבע מתחם עונש הולם אחד בגין שלוש העסקאות הנע בין </w:t>
      </w:r>
      <w:r>
        <w:rPr>
          <w:rFonts w:cs="Arial" w:ascii="Arial" w:hAnsi="Arial"/>
        </w:rPr>
        <w:t>42-54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וביקשה שעונשו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יקבע בחלקו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עונש מאסר על תנאי וקנס כספי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בהזדמנות הראשונה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ונטען כי מעבר לחיסכון בזמן השיפוטי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המועד המוקדם בו ניתנה ההודאה מלמד על חרטה ולקיחת אחריות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נטען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שיתף פעולה בחקירותיו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שהואיל ומדובר במי שהוא תושב הרשות הפלסטינאית אין אפשרות לבקש חריגה מטעמי 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בנסיבות אלה פנייה לשירות המבחן לא תועיל משום שלא ניתן להתוות במקרה זה מסלול שיקומי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בדומה לטיעוני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שבהתאם לכללים שהותוו בהלכה בעניין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בשלושת העיסקאות אירוע אחד ולקבוע מתחם ענישה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הלב של כתב האישום הוא הסחר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הנשיאה וההובלה הן עבירות נלוות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כשנטען שמדובר בנשיאה והובלה למשך זמן קצר שהסתכמה בהעברת התחמושת לאדם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צוין כי הגמול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בעבור חלקו בעסקה היה </w:t>
      </w:r>
      <w:r>
        <w:rPr>
          <w:rFonts w:cs="Arial" w:ascii="Arial" w:hAnsi="Arial"/>
        </w:rPr>
        <w:t>2,200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שיש להבחין בין נשק רב שימושי לתחמושת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כשנטען שלפי הנחיית פרקליט המדינה הרלוונטית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תחמושת היא הנמוכה ביותר במדרג החומרה של עבירות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שלפי עובדות האישום אין היכרות קודמת בין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המעורבים ונטען שהוא ניצל באופן אקראי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הזדמנות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שנקראה בדרכו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הפעלת שיקול דעת רגעי מוטעה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כי המעשים נחשפו באמצע חודש פברואר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אולם דובר בעבירות מחודש ספטמבר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כשבחמש החודשים שחלפו מאז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יצר קשר פעם נוספת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והמעורב הנוסף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ונטען שהוא חדל בעצמו מביצוע עבירות עוד עובר למעצרו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האירוע נחשף בעקבות האישום השני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המופנה נגד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הפנה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הבאה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8"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3114/02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עודד בן משה מולא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10.4.2002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דובר בנאשם אשר </w:t>
      </w:r>
      <w:r>
        <w:rPr>
          <w:rFonts w:ascii="Arial" w:hAnsi="Arial" w:cs="Arial"/>
          <w:rtl w:val="true"/>
        </w:rPr>
        <w:t>הורשע על פי הודאתו בשתי עבירות של סיוע לסחר בנשק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הובלת נשק ובסיוע להובלת נשק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שם מכר בשתי הזדמנויות שונות 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לתושב חברון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סך הכל </w:t>
      </w:r>
      <w:r>
        <w:rPr>
          <w:rFonts w:cs="Arial" w:ascii="Arial" w:hAnsi="Arial"/>
        </w:rPr>
        <w:t>1,200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שעברו היה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7603-13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עלא ריחאני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</w:t>
      </w:r>
      <w:r>
        <w:rPr>
          <w:rFonts w:cs="Arial" w:ascii="Arial" w:hAnsi="Arial"/>
        </w:rPr>
        <w:t>.</w:t>
      </w:r>
      <w:r>
        <w:rPr>
          <w:rFonts w:cs="Arial" w:ascii="Arial" w:hAnsi="Arial"/>
        </w:rPr>
        <w:t>5</w:t>
      </w:r>
      <w:r>
        <w:rPr>
          <w:rFonts w:cs="Arial" w:ascii="Arial" w:hAnsi="Arial"/>
        </w:rPr>
        <w:t>.20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במקרה זה המערער הורשע על פי הודאתו בביצוע עבירות </w:t>
      </w:r>
      <w:r>
        <w:rPr>
          <w:rFonts w:ascii="Arial" w:hAnsi="Arial" w:cs="Arial"/>
          <w:rtl w:val="true"/>
        </w:rPr>
        <w:t xml:space="preserve">קשר לסחר בנשק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סחר בתחמושת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עבד כנהג מונית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קשר עם נוסע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לרכוש ממנו כלי נשק ותחמושת מסוגים שונים וביקש ממנו שיספק לו כדורים לנשק מסוג עוזי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הסוכן המשטרתי סיפק לו </w:t>
      </w:r>
      <w:r>
        <w:rPr>
          <w:rFonts w:cs="Arial" w:ascii="Arial" w:hAnsi="Arial"/>
        </w:rPr>
        <w:t>773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בערכאה הדיונית נקבע מתחם עונש הולם הנע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והוטל עליו עונש של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שהוגש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1235/09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רובי אטיאנו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18.5.2009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דובר במערער שהורשע על פי הודאתו בביצוע עבירות גניבה וסחר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שבמשך תקופה ארוכה הוציא ממטווח ירי עירוני בו עבד תחמושת אותה מכר לעובד גינון ותחזוקה שהועסק במטווח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בערכאה הדיונית הוטל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שהוגש על חומרת העונש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נשוי ולו תינוק קטן שנולד בזמן ששהה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ילדה בת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שהוא משמש כמפרנס יחידי למשפחתו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הסנגור ביקש להסתפק בימי מעצרו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ולחלופין להימנע מלמצות את חומרת הדין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לקבוע רף מינימלי של מתחם ענישה ולמקם את עונשו בחלק התחתון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הביע חרטה על מעשיו ואמר כי דובר במעשה רגעי שנבע ממצבו הכלכלי הקשה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שהוא פועל בניין ושיש לו ילדים ומשפחה ושמעולם לא פגע באיש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הנאשם פגע בערכים החברתיים המוגנים של שמירה על 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בהן דובר בשלוש עסקאות נשק נפרדות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כי דובר בכמות משמעותית של תחמושת המשמשת נשק התקפי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בפגיעה במידה בינונית לכל הפחות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בבחינת נסיבות ביצוע העבירה שקלתי את העובדה כי מדובר במעשים מתוכננים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שיזם את הפנייה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רכישת 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 את סוג התחמושת וכמותה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העובדה כי לא דובר במקרה בודד או נקודתי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בשלוש עיסקאות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בכמות משמעותית של תחמושת שהועברה לשטחי הרשות כאשר התחמושת לא נתפסה ועל כן מדובר במעשים שהנזק ופוטנציאל הנזק בצידם הוא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יכל להבין את הפסול במעשיו ולהימנע מעשייתם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לציין כי למרות שמדובר בשלוש עסקאות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סמיכות הזמנים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זהות המעורבים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הדמיון בין העסקאות והזהות בערכים החברתיים שנפגעו כתוצאה מהמעשים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הצדקה לקבוע מתחם עונש כולל אחד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 ולמדיניות הענישה הנוהגת כעולה מהפסיקה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במקרה זה נע בין </w:t>
      </w:r>
      <w:r>
        <w:rPr>
          <w:rFonts w:cs="Arial" w:ascii="Arial" w:hAnsi="Arial"/>
        </w:rPr>
        <w:t>20-50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לצורך קביעת עונשו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בתוך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הודאתו והחיסכון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מצבו המשפחתי ואת עברו הפלילי הנקי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אם כי יש לזכור כי מדובר בשלושה מקרים שונים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במכלול הנתונים יש הצדקה למקם את העונש בחלק הנמוך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בכל הנוגע לעונש המזערי בהתאם לתיקון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hyperlink r:id="rId2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קבוע כך</w:t>
      </w:r>
      <w:r>
        <w:rPr>
          <w:rFonts w:cs="Arial" w:ascii="Arial" w:hAnsi="Arial"/>
          <w:rtl w:val="true"/>
        </w:rPr>
        <w:t xml:space="preserve">: </w:t>
      </w:r>
      <w:r>
        <w:rPr>
          <w:rStyle w:val="default"/>
          <w:rFonts w:cs="Miriam" w:ascii="Miriam" w:hAnsi="Miriam"/>
          <w:rtl w:val="true"/>
        </w:rPr>
        <w:t>"</w:t>
      </w:r>
      <w:r>
        <w:rPr>
          <w:rStyle w:val="default"/>
          <w:rFonts w:ascii="Miriam" w:hAnsi="Miriam" w:cs="Miriam"/>
          <w:rtl w:val="true"/>
        </w:rPr>
        <w:t xml:space="preserve">הורשע אדם בעבירה לפי סעיף קטן </w:t>
      </w:r>
      <w:r>
        <w:rPr>
          <w:rStyle w:val="default"/>
          <w:rFonts w:cs="Miriam" w:ascii="Miriam" w:hAnsi="Miriam"/>
          <w:rtl w:val="true"/>
        </w:rPr>
        <w:t>(</w:t>
      </w:r>
      <w:r>
        <w:rPr>
          <w:rStyle w:val="default"/>
          <w:rFonts w:ascii="Miriam" w:hAnsi="Miriam" w:cs="Miriam"/>
          <w:rtl w:val="true"/>
        </w:rPr>
        <w:t>א</w:t>
      </w:r>
      <w:r>
        <w:rPr>
          <w:rStyle w:val="default"/>
          <w:rFonts w:cs="Miriam" w:ascii="Miriam" w:hAnsi="Miriam"/>
          <w:rtl w:val="true"/>
        </w:rPr>
        <w:t xml:space="preserve">) </w:t>
      </w:r>
      <w:r>
        <w:rPr>
          <w:rStyle w:val="default"/>
          <w:rFonts w:ascii="Miriam" w:hAnsi="Miriam" w:cs="Miriam"/>
          <w:rtl w:val="true"/>
        </w:rPr>
        <w:t>רישה</w:t>
      </w:r>
      <w:r>
        <w:rPr>
          <w:rStyle w:val="default"/>
          <w:rFonts w:cs="Miriam" w:ascii="Miriam" w:hAnsi="Miriam"/>
          <w:rtl w:val="true"/>
        </w:rPr>
        <w:t>, (</w:t>
      </w:r>
      <w:r>
        <w:rPr>
          <w:rStyle w:val="default"/>
          <w:rFonts w:ascii="Miriam" w:hAnsi="Miriam" w:cs="Miriam"/>
          <w:rtl w:val="true"/>
        </w:rPr>
        <w:t>ב</w:t>
      </w:r>
      <w:r>
        <w:rPr>
          <w:rStyle w:val="default"/>
          <w:rFonts w:cs="Miriam" w:ascii="Miriam" w:hAnsi="Miriam"/>
          <w:rtl w:val="true"/>
        </w:rPr>
        <w:t xml:space="preserve">) </w:t>
      </w:r>
      <w:r>
        <w:rPr>
          <w:rStyle w:val="default"/>
          <w:rFonts w:ascii="Miriam" w:hAnsi="Miriam" w:cs="Miriam"/>
          <w:rtl w:val="true"/>
        </w:rPr>
        <w:t>רישה</w:t>
      </w:r>
      <w:r>
        <w:rPr>
          <w:rStyle w:val="default"/>
          <w:rFonts w:cs="Miriam" w:ascii="Miriam" w:hAnsi="Miriam"/>
          <w:rtl w:val="true"/>
        </w:rPr>
        <w:t>, (</w:t>
      </w:r>
      <w:r>
        <w:rPr>
          <w:rStyle w:val="default"/>
          <w:rFonts w:ascii="Miriam" w:hAnsi="Miriam" w:cs="Miriam"/>
          <w:rtl w:val="true"/>
        </w:rPr>
        <w:t>ב</w:t>
      </w:r>
      <w:r>
        <w:rPr>
          <w:rStyle w:val="default"/>
          <w:rFonts w:cs="Miriam" w:ascii="Miriam" w:hAnsi="Miriam"/>
        </w:rPr>
        <w:t>2</w:t>
      </w:r>
      <w:r>
        <w:rPr>
          <w:rStyle w:val="default"/>
          <w:rFonts w:cs="Miriam" w:ascii="Miriam" w:hAnsi="Miriam"/>
          <w:rtl w:val="true"/>
        </w:rPr>
        <w:t xml:space="preserve">) </w:t>
      </w:r>
      <w:r>
        <w:rPr>
          <w:rStyle w:val="default"/>
          <w:rFonts w:ascii="Miriam" w:hAnsi="Miriam" w:cs="Miriam"/>
          <w:rtl w:val="true"/>
        </w:rPr>
        <w:t xml:space="preserve">או </w:t>
      </w:r>
      <w:r>
        <w:rPr>
          <w:rStyle w:val="default"/>
          <w:rFonts w:cs="Miriam" w:ascii="Miriam" w:hAnsi="Miriam"/>
          <w:rtl w:val="true"/>
        </w:rPr>
        <w:t>(</w:t>
      </w:r>
      <w:r>
        <w:rPr>
          <w:rStyle w:val="default"/>
          <w:rFonts w:ascii="Miriam" w:hAnsi="Miriam" w:cs="Miriam"/>
          <w:rtl w:val="true"/>
        </w:rPr>
        <w:t>ב</w:t>
      </w:r>
      <w:r>
        <w:rPr>
          <w:rStyle w:val="default"/>
          <w:rFonts w:cs="Miriam" w:ascii="Miriam" w:hAnsi="Miriam"/>
        </w:rPr>
        <w:t>3</w:t>
      </w:r>
      <w:r>
        <w:rPr>
          <w:rStyle w:val="default"/>
          <w:rFonts w:cs="Miriam" w:ascii="Miriam" w:hAnsi="Miriam"/>
          <w:rtl w:val="true"/>
        </w:rPr>
        <w:t xml:space="preserve">) </w:t>
      </w:r>
      <w:r>
        <w:rPr>
          <w:rStyle w:val="default"/>
          <w:rFonts w:ascii="Miriam" w:hAnsi="Miriam" w:cs="Miriam"/>
          <w:rtl w:val="true"/>
        </w:rPr>
        <w:t>רישה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לא יפחת עונשו מרבע העונש המרבי שנקבע לאותה עבירה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אלא אם כן החליט בית המשפט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מטעמים מיוחדים שיירשמו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להקל בעונשו</w:t>
      </w:r>
      <w:r>
        <w:rPr>
          <w:rStyle w:val="default"/>
          <w:rFonts w:cs="Miriam" w:ascii="Miriam" w:hAnsi="Miriam"/>
          <w:rtl w:val="true"/>
        </w:rPr>
        <w:t xml:space="preserve">; </w:t>
      </w:r>
      <w:r>
        <w:rPr>
          <w:rStyle w:val="default"/>
          <w:rFonts w:ascii="Miriam" w:hAnsi="Miriam" w:cs="Miriam"/>
          <w:u w:val="single"/>
          <w:rtl w:val="true"/>
        </w:rPr>
        <w:t>עונש מאסר לפי סעיף קטן זה לא יהיה</w:t>
      </w:r>
      <w:r>
        <w:rPr>
          <w:rStyle w:val="default"/>
          <w:rFonts w:cs="Miriam" w:ascii="Miriam" w:hAnsi="Miriam"/>
          <w:u w:val="single"/>
          <w:rtl w:val="true"/>
        </w:rPr>
        <w:t xml:space="preserve">, </w:t>
      </w:r>
      <w:r>
        <w:rPr>
          <w:rStyle w:val="default"/>
          <w:rFonts w:ascii="Miriam" w:hAnsi="Miriam" w:cs="Miriam"/>
          <w:u w:val="single"/>
          <w:rtl w:val="true"/>
        </w:rPr>
        <w:t>בהעדר טעמים מיוחדים</w:t>
      </w:r>
      <w:r>
        <w:rPr>
          <w:rStyle w:val="default"/>
          <w:rFonts w:cs="Miriam" w:ascii="Miriam" w:hAnsi="Miriam"/>
          <w:u w:val="single"/>
          <w:rtl w:val="true"/>
        </w:rPr>
        <w:t xml:space="preserve">, </w:t>
      </w:r>
      <w:r>
        <w:rPr>
          <w:rStyle w:val="default"/>
          <w:rFonts w:ascii="Miriam" w:hAnsi="Miriam" w:cs="Miriam"/>
          <w:u w:val="single"/>
          <w:rtl w:val="true"/>
        </w:rPr>
        <w:t>כולו על</w:t>
      </w:r>
      <w:r>
        <w:rPr>
          <w:rStyle w:val="default"/>
          <w:rFonts w:cs="Miriam" w:ascii="Miriam" w:hAnsi="Miriam"/>
          <w:u w:val="single"/>
          <w:rtl w:val="true"/>
        </w:rPr>
        <w:t>-</w:t>
      </w:r>
      <w:r>
        <w:rPr>
          <w:rStyle w:val="default"/>
          <w:rFonts w:ascii="Miriam" w:hAnsi="Miriam" w:cs="Miriam"/>
          <w:u w:val="single"/>
          <w:rtl w:val="true"/>
        </w:rPr>
        <w:t>תנאי</w:t>
      </w:r>
      <w:r>
        <w:rPr>
          <w:rStyle w:val="default"/>
          <w:rFonts w:cs="Miriam" w:ascii="Miriam" w:hAnsi="Miriam"/>
          <w:rtl w:val="true"/>
        </w:rPr>
        <w:t>.</w:t>
      </w:r>
      <w:r>
        <w:rPr>
          <w:rFonts w:cs="Miriam" w:ascii="Miriam" w:hAnsi="Miriam"/>
          <w:rtl w:val="true"/>
        </w:rPr>
        <w:t>"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 xml:space="preserve">]. </w:t>
      </w:r>
      <w:r>
        <w:rPr>
          <w:rFonts w:ascii="Arial" w:hAnsi="Arial" w:cs="Arial"/>
          <w:rtl w:val="true"/>
        </w:rPr>
        <w:t>מנוסח הסעיף עולה כי התיקון אינו שולל כי חלק מהעונש המזערי לצד העבירה ירוצה בדרך של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 רק במידה והעונש כולו ירוצה כעונש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צורך בטעמים מיוחדים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יפים לעניין זה הדברים שנאמרו 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8500/22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אליהו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אביטבול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10.07.2023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rStyle w:val="default"/>
          <w:rFonts w:cs="Miriam" w:ascii="Miriam" w:hAnsi="Miriam"/>
          <w:rtl w:val="true"/>
        </w:rPr>
        <w:t>...</w:t>
      </w:r>
      <w:r>
        <w:rPr>
          <w:rStyle w:val="default"/>
          <w:rFonts w:ascii="Miriam" w:hAnsi="Miriam" w:cs="Miriam"/>
          <w:rtl w:val="true"/>
        </w:rPr>
        <w:t>מכלל לאו שומעים אנו הן – חלק מן העונש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יכול שיינתן בדרך של מאסר על</w:t>
      </w:r>
      <w:r>
        <w:rPr>
          <w:rStyle w:val="default"/>
          <w:rFonts w:cs="Miriam" w:ascii="Miriam" w:hAnsi="Miriam"/>
          <w:rtl w:val="true"/>
        </w:rPr>
        <w:t>-</w:t>
      </w:r>
      <w:r>
        <w:rPr>
          <w:rStyle w:val="default"/>
          <w:rFonts w:ascii="Miriam" w:hAnsi="Miriam" w:cs="Miriam"/>
          <w:rtl w:val="true"/>
        </w:rPr>
        <w:t>תנאי</w:t>
      </w:r>
      <w:r>
        <w:rPr>
          <w:color w:val="000000"/>
          <w:rtl w:val="true"/>
        </w:rPr>
        <w:t>..."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המזערי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36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לאמור אני מטיל ענישה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/>
        <w:jc w:val="start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מאסר בפועל למשך </w:t>
      </w:r>
      <w:r>
        <w:rPr>
          <w:rFonts w:cs="Arial" w:ascii="Arial" w:hAnsi="Arial"/>
          <w:u w:val="single"/>
        </w:rPr>
        <w:t>22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ימי מעצרו מיום </w:t>
      </w:r>
      <w:r>
        <w:rPr>
          <w:rFonts w:cs="Arial" w:ascii="Arial" w:hAnsi="Arial"/>
        </w:rPr>
        <w:t>15.2.2023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0" w:after="120"/>
        <w:ind w:start="714" w:end="0"/>
        <w:contextualSpacing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שיופעל במידה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יבצע עבירה מהעבירות בהן הורשע או עבירת אלימות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0" w:after="120"/>
        <w:ind w:start="714" w:end="0"/>
        <w:contextualSpacing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שישולם 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7676-03-23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מוסטפא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8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c1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355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26472965" TargetMode="External"/><Relationship Id="rId13" Type="http://schemas.openxmlformats.org/officeDocument/2006/relationships/hyperlink" Target="http://www.nevo.co.il/case/27480088" TargetMode="External"/><Relationship Id="rId14" Type="http://schemas.openxmlformats.org/officeDocument/2006/relationships/hyperlink" Target="http://www.nevo.co.il/case/7791489" TargetMode="External"/><Relationship Id="rId15" Type="http://schemas.openxmlformats.org/officeDocument/2006/relationships/hyperlink" Target="http://www.nevo.co.il/case/28914731" TargetMode="External"/><Relationship Id="rId16" Type="http://schemas.openxmlformats.org/officeDocument/2006/relationships/hyperlink" Target="http://www.nevo.co.il/case/611816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72911" TargetMode="External"/><Relationship Id="rId19" Type="http://schemas.openxmlformats.org/officeDocument/2006/relationships/hyperlink" Target="http://www.nevo.co.il/case/10442297" TargetMode="External"/><Relationship Id="rId20" Type="http://schemas.openxmlformats.org/officeDocument/2006/relationships/hyperlink" Target="http://www.nevo.co.il/case/5755630" TargetMode="External"/><Relationship Id="rId21" Type="http://schemas.openxmlformats.org/officeDocument/2006/relationships/hyperlink" Target="http://www.nevo.co.il/law/70301/144.g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9209115" TargetMode="External"/><Relationship Id="rId24" Type="http://schemas.openxmlformats.org/officeDocument/2006/relationships/hyperlink" Target="http://www.nevo.co.il/law/70301/355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2024-08-26T14:33:00Z</dcterms:created>
  <dc:creator> </dc:creator>
  <dc:description/>
  <cp:keywords/>
  <dc:language>en-IL</dc:language>
  <cp:lastModifiedBy>h1</cp:lastModifiedBy>
  <dcterms:modified xsi:type="dcterms:W3CDTF">2024-08-26T14:33:00Z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מוסטפא ג'בארין;מונתצר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26472965;27480088;7791489;28914731;6118167;272911;10442297;5755630;29209115</vt:lpwstr>
  </property>
  <property fmtid="{D5CDD505-2E9C-101B-9397-08002B2CF9AE}" pid="9" name="CITY">
    <vt:lpwstr>חי'</vt:lpwstr>
  </property>
  <property fmtid="{D5CDD505-2E9C-101B-9397-08002B2CF9AE}" pid="10" name="DATE">
    <vt:lpwstr>20230927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70301/144.b2;144.c1;144.b;144.g;355.b</vt:lpwstr>
  </property>
  <property fmtid="{D5CDD505-2E9C-101B-9397-08002B2CF9AE}" pid="15" name="LAWYER">
    <vt:lpwstr>יוסי גימפל;מוחמד מסארווה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7676</vt:lpwstr>
  </property>
  <property fmtid="{D5CDD505-2E9C-101B-9397-08002B2CF9AE}" pid="22" name="NEWPARTB">
    <vt:lpwstr>03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390020230927</vt:lpwstr>
  </property>
  <property fmtid="{D5CDD505-2E9C-101B-9397-08002B2CF9AE}" pid="34" name="TYPE_N_DATE">
    <vt:lpwstr>39020230927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