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77446-12-20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עאסי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מוחמד חאג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יחיא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מפרקליטות מחוז 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נסראללה עאסי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ספא נעאמנה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מהסניגוריה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378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הורשע ביום </w:t>
      </w:r>
      <w:r>
        <w:rPr>
          <w:rFonts w:cs="FrankRuehl" w:ascii="FrankRuehl" w:hAnsi="FrankRuehl"/>
          <w:sz w:val="28"/>
          <w:szCs w:val="28"/>
        </w:rPr>
        <w:t>27.3.2023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דיון ההוכחות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בביצוע תקיפה סתם ממניע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8">
        <w:bookmarkStart w:id="9" w:name="Seif3"/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bookmarkEnd w:id="9"/>
        <w:r>
          <w:rPr>
            <w:rStyle w:val="Hyperlink"/>
            <w:rFonts w:cs="FrankRuehl" w:ascii="FrankRuehl" w:hAnsi="FrankRuehl"/>
            <w:sz w:val="28"/>
            <w:szCs w:val="28"/>
          </w:rPr>
          <w:t>378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9">
        <w:bookmarkStart w:id="10" w:name="Seif4"/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bookmarkEnd w:id="10"/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התשל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ז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cs="Miriam" w:ascii="Miriam" w:hAnsi="Miriam"/>
          <w:sz w:val="24"/>
          <w:szCs w:val="24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bookmarkStart w:id="11" w:name="ABSTRACT_END"/>
      <w:bookmarkEnd w:id="11"/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חוק העונשין</w:t>
      </w:r>
      <w:r>
        <w:rPr>
          <w:rFonts w:cs="FrankRuehl" w:ascii="FrankRuehl" w:hAnsi="FrankRuehl"/>
          <w:sz w:val="28"/>
          <w:szCs w:val="28"/>
          <w:rtl w:val="true"/>
        </w:rPr>
        <w:t>").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לפי האישום וכפי שהוכח במשפט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2.9.2019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סמוך לשעה </w:t>
      </w:r>
      <w:r>
        <w:rPr>
          <w:rFonts w:cs="FrankRuehl" w:ascii="FrankRuehl" w:hAnsi="FrankRuehl"/>
          <w:sz w:val="28"/>
          <w:szCs w:val="28"/>
        </w:rPr>
        <w:t>08:00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הלך המתלונן עם חברו ברחוב שדרות ירושלים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המתלונן וחברו הם בעלי חזות חרדית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הלך מטרים ספורים מאחוריהם כשבין השלושה לא הייתה כל אינטראקציה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לפתע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מתוך איבה ועוינות כלפי המתלונן וחברו בשל היותם יהודים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יידה הנאשם בידו לעבר המתלונן שלוש פעמים חפץ קטן בגודל גולה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החפץ פגע במתלונן באזור העורף והכתף וגרם לו כאבים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בדיון מיום </w:t>
      </w:r>
      <w:r>
        <w:rPr>
          <w:rFonts w:cs="FrankRuehl" w:ascii="FrankRuehl" w:hAnsi="FrankRuehl"/>
          <w:sz w:val="28"/>
          <w:szCs w:val="28"/>
        </w:rPr>
        <w:t>28.5.2023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טענו הצדדים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בתום אותו דיון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שהובהר כי אין בכך כדי ליצור כל ציפייה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הוריתי על הזמנת חוות דעת של הממונה על עבודות השירות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חוות דעת כאמור התקבלה ביום </w:t>
      </w:r>
      <w:r>
        <w:rPr>
          <w:rFonts w:cs="FrankRuehl" w:ascii="FrankRuehl" w:hAnsi="FrankRuehl"/>
          <w:sz w:val="28"/>
          <w:szCs w:val="28"/>
        </w:rPr>
        <w:t>14.6.2023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ולפיה נמצא כי הנאשם מתאים לביצוע עבודות שירות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תמצית טענות הצדדים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טוענת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מעשיו של הנאשם נושאים עמם מסר גזעני בוטה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השפלה וביזוי לקורבן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בחר בחירה חופשית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אוטונומית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להשפיל ולבזות את המתלונן במעשיו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 התגרות או אינטראקציה קודמת בין השניים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ביצע את העבירות מספר פעמים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הענישה ההולמת נע בין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שיכול וירוצו בעבודות שירות עד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עם ענישה נלווית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שהוא בגיר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נטל אחריות על מעשיו וניהל הוכחות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לו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המאשימה עותרת להשית עליו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שירוצו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על תנאי ופיצוי למתלונן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– באמצעות באת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כוחו </w:t>
      </w:r>
      <w:r>
        <w:rPr>
          <w:rFonts w:ascii="Miriam" w:hAnsi="Miriam" w:cs="Miriam"/>
          <w:sz w:val="24"/>
          <w:sz w:val="24"/>
          <w:szCs w:val="24"/>
          <w:rtl w:val="true"/>
        </w:rPr>
        <w:t>עו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ד </w:t>
      </w:r>
      <w:bookmarkStart w:id="12" w:name="Seif1"/>
      <w:r>
        <w:rPr>
          <w:rFonts w:ascii="Miriam" w:hAnsi="Miriam" w:cs="Miriam"/>
          <w:sz w:val="24"/>
          <w:sz w:val="24"/>
          <w:szCs w:val="24"/>
          <w:rtl w:val="true"/>
        </w:rPr>
        <w:t>ס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bookmarkEnd w:id="12"/>
      <w:r>
        <w:rPr>
          <w:rFonts w:ascii="Miriam" w:hAnsi="Miriam" w:cs="Miriam"/>
          <w:sz w:val="24"/>
          <w:sz w:val="24"/>
          <w:szCs w:val="24"/>
          <w:rtl w:val="true"/>
        </w:rPr>
        <w:t>נעאמנה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טוענת 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למרות שאין להקל ראש בעברו הפלילי של הנאשם עת היה על סף קטינות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ליתן את הדעת לרף החומרה הנמוך של המעשה אשר ביצע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ולכן יש לאבחן לקולא את מקרהו של הנאשם זאת ביחס למקרים שהציגה המאשימה לשם השוואה לקביעת מתחם הענישה ההולמת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ליתן את הדעת לגילו הצעיר של הנאשם היום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בן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ובעת ביצוע העבירה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בן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חלוף הזמן המשמעותי מאז ועד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לנסיבות המקרה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זרק הנאשם חפץ קטן בגודל של גולה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לא ידוע מה הוא אותו חפץ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המעשה בוצע ללא תכנון וללא תחכום וגם לא בוצע בצוותא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המעשה נעשה מתוך פזיזות ולא נלוו אליו היבטים אלימים נוספים כמו ביזוי והשפלה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מכל 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 לפיה ניהל הנאשם הוכחות אינה יכולה להיזקף לחובתו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ההגנה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הענישה ההולמת נע ממאסר מותנה ושל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לחילופין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עותר הנאשם להשתת עונש מצומצם בהיקפו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גם הנאשם עצמו דיבר לפניי בדיון הטיעונים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היה קטין בעת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היה מניע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לא היה מודע לעונש הצפוי בגין מעשה כזה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מאז המקרה עברו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כיום הוא רווק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עובד לפרנסתו ופרנסת משפחתו ועתיד ללמוד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איבד את אחד מהוריו לפני כשנה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1">
        <w:bookmarkStart w:id="13" w:name="Seif5"/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bookmarkEnd w:id="13"/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12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3">
        <w:bookmarkStart w:id="14" w:name="Seif6"/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bookmarkEnd w:id="14"/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לקביעת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יתחשב בערך החברתי שנפגע מביצוע העבירה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במידת הפגיעה בו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במדיניות הענישה הנהוגה ובנסיבות הקשורות בביצוע העבירה כאמור ב</w:t>
      </w:r>
      <w:bookmarkStart w:id="15" w:name="Seif7"/>
      <w:r>
        <w:rPr>
          <w:rFonts w:ascii="Miriam" w:hAnsi="Miriam" w:cs="Miriam"/>
          <w:sz w:val="24"/>
          <w:sz w:val="24"/>
          <w:szCs w:val="24"/>
          <w:rtl w:val="true"/>
        </w:rPr>
        <w:t xml:space="preserve">סעיף </w:t>
      </w:r>
      <w:bookmarkEnd w:id="15"/>
      <w:r>
        <w:rPr>
          <w:rFonts w:cs="Miriam" w:ascii="Miriam" w:hAnsi="Miriam"/>
          <w:sz w:val="24"/>
          <w:szCs w:val="24"/>
        </w:rPr>
        <w:t>40</w:t>
      </w:r>
      <w:r>
        <w:rPr>
          <w:rFonts w:ascii="Miriam" w:hAnsi="Miriam" w:cs="Miriam"/>
          <w:sz w:val="24"/>
          <w:sz w:val="24"/>
          <w:szCs w:val="24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ולפי </w:t>
      </w:r>
      <w:hyperlink r:id="rId14">
        <w:bookmarkStart w:id="16" w:name="Seif8"/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bookmarkEnd w:id="16"/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"</w:t>
      </w:r>
      <w:r>
        <w:rPr>
          <w:rFonts w:ascii="Miriam" w:hAnsi="Miriam" w:cs="Miriam"/>
          <w:sz w:val="24"/>
          <w:sz w:val="24"/>
          <w:szCs w:val="24"/>
          <w:rtl w:val="true"/>
        </w:rPr>
        <w:t>בתוך מתחם העונש ההולם יגזור בית המשפט את העונש המתאים לנאשם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בהתחשב בנסיבות שאינן קשורות בביצוע העבירה</w:t>
      </w:r>
      <w:r>
        <w:rPr>
          <w:rFonts w:cs="Miriam" w:ascii="Miriam" w:hAnsi="Miriam"/>
          <w:sz w:val="24"/>
          <w:szCs w:val="24"/>
          <w:rtl w:val="true"/>
        </w:rPr>
        <w:t>...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הערכים המוגנים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להכביר במילים ביחס לכך שהפעלת אלימות היא מעשה אסור בדין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פסול חברתית וגם מכוער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שפוגע בביטחונו האישי והבסיסי של הקורבן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שלוות נפשו ושלמות גופו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זאת לצד העלבון וההשפלה שיכולים גם ללוות מעשה זה ולגרום לפגיעה רגשית ונפשית אצל הקורבן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נכון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מעשה ומעשה נבחן לגופו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ונסיבות מקרהו של פלוני מובחנות מנסיבות מקרהו של אלמוני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כמכלול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Miriam" w:hAnsi="Miriam" w:cs="Miriam"/>
          <w:sz w:val="24"/>
          <w:sz w:val="24"/>
          <w:szCs w:val="24"/>
          <w:rtl w:val="true"/>
        </w:rPr>
        <w:t>יש לעקור מן השורש את נגע האלימות שפשה בחברתנו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במלחמה זו מוטל על בתי המשפט תפקיד חשוב ביותר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שעיקרו הוקעת התופעה וגזירת עונשים מחמירים על אלו הבוחרים לנקוט בדרך האלימות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8991/10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מכבי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bookmarkStart w:id="17" w:name="Seif9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bookmarkEnd w:id="17"/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27.10.2011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על הצורך בענישה מרתיעה להתמודדות עם נגע האלימות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והשוו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6277/20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היילי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bookmarkStart w:id="18" w:name="Seif10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bookmarkEnd w:id="18"/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24.3.2021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4173/07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bookmarkStart w:id="19" w:name="Seif11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bookmarkEnd w:id="19"/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16.8.2007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במקרה לפנינו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חומרת האירוע היא גבוהה יותר מאחר ולא מדובר במעשה תקיפה רגיל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זה בוצע ממניע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מעשה זה הוא בלתי נסבל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ומכל מקום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כאשר עסקינן בעבירות על רקע לאומני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המסכנות את מרקם החיים בחברה דמוקרטית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נדרשת החמרה בענישה ויש ליתן משקל ממשי לשיקולי הרתעה – אף כאשר מדובר בקטינים או בגירים צעירים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5634/16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שחר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bookmarkStart w:id="20" w:name="Seif12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bookmarkEnd w:id="20"/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27.10.2016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לדאבון הלב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מעת לעת מתרגשים עלינו אירועים פלילים עם רכיב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ולעתים אף רק עם ניחוח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זה יכול לבוא מכל מרכיבי האוכלוסייה בחברה הישראלית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מורכבות האירועים עולה כאשר מדובר במעורבים שהם 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העליון ב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5469/13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bookmarkStart w:id="21" w:name="Seif13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bookmarkEnd w:id="21"/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13.4.2014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התייחס לחומרה של עבירות כאלו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במיוחד כאשר הן מבוצעות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ידי קטינים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נזכיר שהנאשם היה על הסף הקטינות במועד הביצוע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עברות כאלה חותרות תחת עצם מהותנו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כמדינת חוק הן כמדינה יהודית ודמוקרטית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תולדותיה ועל המיעוט הלא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יהודי הגדול בתוכה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את כל משקלן הציבורי הכבד יש להטיל על כתפי המערערים הקטינים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ולכך ניתן ביטוי בבית המשפט קמא ויינתן ביטוי גם כאן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איני רואה להציע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פטור בלא כלום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במובן של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כן מנוס כ</w:t>
      </w:r>
      <w:bookmarkStart w:id="22" w:name="Seif16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כלל מהשתת </w:t>
      </w:r>
      <w:bookmarkEnd w:id="22"/>
      <w:r>
        <w:rPr>
          <w:rFonts w:ascii="FrankRuehl" w:hAnsi="FrankRuehl" w:cs="FrankRuehl"/>
          <w:sz w:val="28"/>
          <w:sz w:val="28"/>
          <w:szCs w:val="28"/>
          <w:rtl w:val="true"/>
        </w:rPr>
        <w:t>עונש מאסר בפועל בתיקי גזענות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ובית המשפט בתוך עמו הוא יושב ועליו האחריות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כשהמדובר בקטינים – כמובן תוך התחשבות בפן האינדיבידואלי ובפן השיקומי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בודאי כך בקטינים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כדאי שקול זה יישמע ברבים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בבתי הספר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עת הלך המתלונן עם חברו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שניהם בעלי חזות חרדית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הלך מטרים ספורים מאחוריהם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כשביניהם לא הייתה כל אינטראקציה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לפתע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יידה הנאשם בידו לעבר המתלונן שלוש פעמים חפץ קטן בגודל של גולה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החפץ פגע במתלונן באזור העורף והכתף וגרם לו כאבים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מעשה הנאשם כפי שהוכח במשפט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בריוני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מכוער ודוחה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אשמו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 המתלונן היותו בעל חזות חרדית ונראה כי זה לא בא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בטוב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בעיני הנאשם באותו מקום ובאותה נקודת זמן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נכון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וכפי שהיה ניתן להתרשם מהסרטון שהוצג ומהעדויות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מדובר במעשה מתוכנן מראש ולא מדובר במעשה שנלוו לו פעולות פיזיות או קריאות מילוליות נוספות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הוא כשלעצמו חמור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חומרתו אף עולה מהמחזוריות שלו – הנאשם זרק שלוש פעמים לעבר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זאת בשל היותו יהודי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כפי שקבעתי בהכרעת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 ספק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כל ויכוח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קטטה או פגיעה שבה מעורבים אנשים בני דתות שונות או משויכים ללאומים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בהם כדי להפוך את האירוע באופן אוטומטי לאירוע שמונַע מגזענות או מעויינות 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אוסיף – אוי לנו אם נגיע למצב כזה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החברה הישראלית מורכבת מפסיפס אנושי מרהיב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העושר הדתי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התרבותי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העדתי והשפתי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אינם אמורים להפוך לנו לרועץ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לפניי הוכח מעל לכל ספק סביר שהנאשם פעל ממניע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מדיניות הענישה הנהוגה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לקביעת מתחם הענישה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נתתי את דעתי לפסיקה אליה הפנו הצדדים בטיעוניהם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 לפסיקה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לעתים דובר בנסיבות חמורות או מקלות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לקביעת המתחם נשענתי על הפסיקה שתובא להלן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כמובן עם השינויים המתחייבים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סדר ערכאה ומועד פרסום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3869/19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נחום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15.7.2020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start="1080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2906/19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14.9.2019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4223/18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סיאם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7.2.2019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2150/17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14.5.2018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5469/13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13.4.2014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Miriam" w:hAnsi="Miriam" w:cs="Miriam"/>
          <w:sz w:val="24"/>
          <w:szCs w:val="24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מרכז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48435-02-17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קפלון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1.2.2018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11826-08-14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טיידרוס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28.9.2017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4294-05-21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רדאידה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27.10.2021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38958-04-19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זעתרה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7.7.2021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22461-07-16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ראזם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28.10.2020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58413-06-17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וזנה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21.11.2019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לאחר שנתתי את דעתי לכל האמור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קובע בזאת כי מתחם הענישה ההולמת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נע בין מספר חודשי מאסר בפועל שיכול וירוצו בעבודות שירות ועד </w:t>
      </w:r>
      <w:r>
        <w:rPr>
          <w:rFonts w:cs="Miriam" w:ascii="Miriam" w:hAnsi="Miriam"/>
          <w:sz w:val="24"/>
          <w:szCs w:val="24"/>
        </w:rPr>
        <w:t>12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חודשי מאסר בפועל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לצד ענישה נלווית</w:t>
      </w:r>
      <w:r>
        <w:rPr>
          <w:rFonts w:cs="Miriam" w:ascii="Miriam" w:hAnsi="Miriam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נסיבות שאינן 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בן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רווק שעובד למחייתו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במועד ביצוע המעשה היה בן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ולטענת ההגנה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דובר במעשה פזיז שבוצע על סף הקטינות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שעמדתי על כך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נראה שמדובר במעשה מתוכנן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בוצע בצוותא ולא נלוו מעשים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פיזיים או מילוליים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בדבריו לפניי בדיון הטיעונים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הנאשם על גילו במועד ביצוע המעשה אך לדבריו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העבירה שנעשתה לא על גזע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גזעני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6-5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 לאחר מכן ולאחר שנשמעה הערה מספסל הקהל באולם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הוסיף שבמועד ביצוע העבירה הוא לא היה מודע לעונש שלצדה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להתרשמותי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אינו נוטל אחריות מלאה על המעשה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bookmarkStart w:id="23" w:name="Seif15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פרט לעניין </w:t>
      </w:r>
      <w:bookmarkEnd w:id="23"/>
      <w:r>
        <w:rPr>
          <w:rFonts w:ascii="FrankRuehl" w:hAnsi="FrankRuehl" w:cs="FrankRuehl"/>
          <w:sz w:val="28"/>
          <w:sz w:val="28"/>
          <w:szCs w:val="28"/>
          <w:rtl w:val="true"/>
        </w:rPr>
        <w:t>הרכיב הגזעני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למרות הרעשתו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וממילא לא התרשמתי שהוא מביע חרטה כּנה או אמפתיה כלפי קורבן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לנאשם עבר פלילי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מוצג מא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בשנת </w:t>
      </w:r>
      <w:r>
        <w:rPr>
          <w:rFonts w:cs="FrankRuehl" w:ascii="FrankRuehl" w:hAnsi="FrankRuehl"/>
          <w:sz w:val="28"/>
          <w:szCs w:val="28"/>
        </w:rPr>
        <w:t>2020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הורשע בבית המשפט המחוזי בירושלים בביצוע עבירת נשק וגם בקשירת קשר לעשות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נדון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ענישה נלווית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נתתי את דעתי לחלוף התקופה ממועד ביצוע העבירה ועד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 זה 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התנהלות הנאשם תרמה לתקופה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למצער בחלקה לאחר הגשת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בתשובתו לאישום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כפר הנאשם באופן כללי במיוחס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הודאתו בזריקת חפצים באה רק בחודש </w:t>
      </w:r>
      <w:r>
        <w:rPr>
          <w:rFonts w:cs="FrankRuehl" w:ascii="FrankRuehl" w:hAnsi="FrankRuehl"/>
          <w:sz w:val="28"/>
          <w:szCs w:val="28"/>
        </w:rPr>
        <w:t>01/2022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תוך הכחשת הפגיעה במתלונן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ההודאה המפורשת ביידוי לעברו הייתה רק לאחר שמיעת עדותו של המתלונן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לאורך כל ההליך הכחיש הנאשם קיומו של מניע גזעני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זכותו של הנאשם לנהל את ההליך על מנת להוכיח את חפותו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אין הוא זכאי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להנחה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 המודה ועוזב אשר מצא לנכון להודות במעשהו ולשאת באחריות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ולרוב תוך חיסכון משמעותי בזמנם של הצדדים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 העדים ושל בית המשפט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בהקשר דומה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נפסק ב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9004/18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יצחקי נ</w:t>
      </w:r>
      <w:r>
        <w:rPr>
          <w:rFonts w:cs="Miriam" w:ascii="Miriam" w:hAnsi="Miriam"/>
          <w:color w:val="00000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bookmarkStart w:id="24" w:name="Seif14"/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פסקה </w:t>
      </w:r>
      <w:bookmarkEnd w:id="24"/>
      <w:r>
        <w:rPr>
          <w:rFonts w:cs="FrankRuehl" w:ascii="FrankRuehl" w:hAnsi="FrankRuehl"/>
          <w:color w:val="000000"/>
          <w:sz w:val="28"/>
          <w:szCs w:val="28"/>
        </w:rPr>
        <w:t>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zCs w:val="28"/>
        </w:rPr>
        <w:t>31.12.2018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כלהלן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זכותו של כל אדם לעמוד על חפותו ולנהל משפט הוכחות בעניינו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ואין לזקוף זאת לחובתו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אין לתמרץ התנהלות שנועדה להקשות על ניהול ההליך הפלילי ולדחות את סיומו ככל הניתן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ולו לצורך ביסוסה של טענה עתידית בדבר חלוף הזמן במטרה להקל בעונשו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במקרים מעין אלה ראוי לבחון בזהירות יתרה טענות בדבר חלוף הזמן מיום ביצוע העבירות ועד לסיומו של ההליך הפלילי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להעניק להן משקל מוגבל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בשקלול של כל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סבורני כי עמדתה העונשית של המאשימה היא מידתית ומאוזנת בנסיבות 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שעונשו של הנאשם ימוקם מעט מעל השליש התחתון של המתחם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z w:val="28"/>
          <w:szCs w:val="28"/>
          <w:u w:val="single"/>
        </w:rPr>
      </w:pPr>
      <w:r>
        <w:rPr>
          <w:rFonts w:cs="Miriam" w:ascii="Miriam" w:hAnsi="Miriam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u w:val="single"/>
          <w:rtl w:val="true"/>
        </w:rPr>
        <w:t>תוצאה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לאור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משית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510" w:start="123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חמישה חודשי מאסר שירוצו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הכל לפי חוות הדעת של הממונה מיום </w:t>
      </w:r>
      <w:r>
        <w:rPr>
          <w:rFonts w:cs="FrankRuehl" w:ascii="FrankRuehl" w:hAnsi="FrankRuehl"/>
          <w:sz w:val="28"/>
          <w:szCs w:val="28"/>
        </w:rPr>
        <w:t>14.6.2023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תחילת ריצוי העונש </w:t>
      </w:r>
      <w:r>
        <w:rPr>
          <w:rFonts w:cs="FrankRuehl" w:ascii="FrankRuehl" w:hAnsi="FrankRuehl"/>
          <w:sz w:val="28"/>
          <w:szCs w:val="28"/>
          <w:u w:val="single"/>
        </w:rPr>
        <w:t>18.9.2023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510" w:start="123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ארבעה 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שירוצו ככל שהנאשם יעבור עבירת אלימות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העבירה שבה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איומים תוך שלוש שנים מהיום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510" w:start="123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יפצה את המתלונן סך </w:t>
      </w:r>
      <w:r>
        <w:rPr>
          <w:rFonts w:cs="FrankRuehl" w:ascii="FrankRuehl" w:hAnsi="FrankRuehl"/>
          <w:sz w:val="28"/>
          <w:szCs w:val="28"/>
        </w:rPr>
        <w:t>2,000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ישולם בשני תשלומים חודשיים עוקבים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הראשון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עד יום </w:t>
      </w:r>
      <w:r>
        <w:rPr>
          <w:rFonts w:cs="FrankRuehl" w:ascii="FrankRuehl" w:hAnsi="FrankRuehl"/>
          <w:sz w:val="28"/>
          <w:szCs w:val="28"/>
          <w:u w:val="single"/>
        </w:rPr>
        <w:t>18.8.2023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והשני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עד יום </w:t>
      </w:r>
      <w:r>
        <w:rPr>
          <w:rFonts w:cs="FrankRuehl" w:ascii="FrankRuehl" w:hAnsi="FrankRuehl"/>
          <w:sz w:val="28"/>
          <w:szCs w:val="28"/>
          <w:u w:val="single"/>
        </w:rPr>
        <w:t>18.9.2023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באחריות המאשימה לעדכן את המתלונן ברכיב זה בעונש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ככל שלא יקבל הנחיה אחרת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יתייצב לצורך קליטה והצבה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  <w:u w:val="single"/>
        </w:rPr>
        <w:t>18.9.2023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בשעה </w:t>
      </w:r>
      <w:r>
        <w:rPr>
          <w:rFonts w:cs="FrankRuehl" w:ascii="FrankRuehl" w:hAnsi="FrankRuehl"/>
          <w:sz w:val="28"/>
          <w:szCs w:val="28"/>
          <w:u w:val="single"/>
        </w:rPr>
        <w:t>08:00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במשרדי הממונה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יחידת ברקאי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שלוחת דרום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סמוך לכלא באר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שבע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טלפון </w:t>
      </w:r>
      <w:r>
        <w:rPr>
          <w:rFonts w:cs="FrankRuehl" w:ascii="FrankRuehl" w:hAnsi="FrankRuehl"/>
          <w:sz w:val="28"/>
          <w:szCs w:val="28"/>
        </w:rPr>
        <w:t>074-7831218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פקס </w:t>
      </w:r>
      <w:r>
        <w:rPr>
          <w:rFonts w:cs="FrankRuehl" w:ascii="FrankRuehl" w:hAnsi="FrankRuehl"/>
          <w:sz w:val="28"/>
          <w:szCs w:val="28"/>
        </w:rPr>
        <w:t>08-9193006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דוא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 </w:t>
      </w:r>
      <w:r>
        <w:rPr>
          <w:rFonts w:cs="FrankRuehl" w:ascii="FrankRuehl" w:hAnsi="FrankRuehl"/>
          <w:sz w:val="20"/>
          <w:szCs w:val="20"/>
        </w:rPr>
        <w:t>avshdarom@ips.gov.il</w:t>
      </w:r>
      <w:r>
        <w:rPr>
          <w:rFonts w:cs="FrankRuehl" w:ascii="FrankRuehl" w:hAnsi="FrankRuehl"/>
          <w:sz w:val="20"/>
          <w:szCs w:val="20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 הפיצוי ישלם הנאשם באמצעות רשות האכיפה והגבייה באחת מהדרכים הבאות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בכרטיס אשראי – באתר המקוון של רשות האכיפה והגבייה </w:t>
      </w:r>
      <w:r>
        <w:rPr>
          <w:rFonts w:cs="FrankRuehl" w:ascii="FrankRuehl" w:hAnsi="FrankRuehl"/>
          <w:color w:val="000000"/>
          <w:sz w:val="27"/>
          <w:szCs w:val="27"/>
        </w:rPr>
        <w:t>www.eca.gov.il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מוקד שירות טלפוני בטלפון </w:t>
      </w:r>
      <w:r>
        <w:rPr>
          <w:rFonts w:cs="FrankRuehl" w:ascii="FrankRuehl" w:hAnsi="FrankRuehl"/>
          <w:color w:val="000000"/>
          <w:sz w:val="28"/>
          <w:szCs w:val="28"/>
        </w:rPr>
        <w:t>35592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*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 בטלפון </w:t>
      </w:r>
      <w:r>
        <w:rPr>
          <w:rFonts w:cs="FrankRuehl" w:ascii="FrankRuehl" w:hAnsi="FrankRuehl"/>
          <w:color w:val="000000"/>
          <w:sz w:val="28"/>
          <w:szCs w:val="28"/>
        </w:rPr>
        <w:t>073-2055000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במזומן בכל סניף של בנק הדואר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המחוזי בירושלים 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FrankRuehl" w:ascii="FrankRuehl" w:hAnsi="FrankRuehl"/>
          <w:color w:val="FFFFFF"/>
          <w:sz w:val="2"/>
          <w:szCs w:val="2"/>
          <w:u w:val="single"/>
        </w:rPr>
        <w:t>5129371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המזכירות – להודיע לממונה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25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25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מוחמד חאג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77446-12-20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נסראללה עאסי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sz w:val="26"/>
        <w:szCs w:val="26"/>
        <w:rFonts w:ascii="FrankRuehl" w:hAnsi="FrankRuehl" w:cs="FrankRuehl"/>
      </w:rPr>
    </w:lvl>
  </w:abstractNum>
  <w:abstractNum w:abstractNumId="3">
    <w:lvl w:ilvl="0">
      <w:start w:val="1"/>
      <w:numFmt w:val="decimal"/>
      <w:lvlText w:val="%1)"/>
      <w:lvlJc w:val="end"/>
      <w:pPr>
        <w:tabs>
          <w:tab w:val="num" w:pos="0"/>
        </w:tabs>
        <w:ind w:start="720" w:hanging="360"/>
      </w:pPr>
      <w:rPr>
        <w:sz w:val="26"/>
        <w:szCs w:val="26"/>
        <w:rFonts w:ascii="FrankRuehl" w:hAnsi="FrankRuehl" w:cs="FrankRuehl"/>
      </w:rPr>
    </w:lvl>
  </w:abstractNum>
  <w:abstractNum w:abstractNumId="4">
    <w:lvl w:ilvl="0">
      <w:start w:val="1"/>
      <w:numFmt w:val="hebrew1"/>
      <w:lvlText w:val="%1)"/>
      <w:lvlJc w:val="end"/>
      <w:pPr>
        <w:tabs>
          <w:tab w:val="num" w:pos="0"/>
        </w:tabs>
        <w:ind w:start="1230" w:hanging="51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Calibri" w:cs="FrankRueh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3z0">
    <w:name w:val="WW8Num3z0"/>
    <w:qFormat/>
    <w:rPr>
      <w:rFonts w:ascii="FrankRuehl" w:hAnsi="FrankRuehl" w:cs="FrankRuehl"/>
      <w:sz w:val="26"/>
      <w:szCs w:val="26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144f.a" TargetMode="External"/><Relationship Id="rId7" Type="http://schemas.openxmlformats.org/officeDocument/2006/relationships/hyperlink" Target="http://www.nevo.co.il/law/70301/378" TargetMode="External"/><Relationship Id="rId8" Type="http://schemas.openxmlformats.org/officeDocument/2006/relationships/hyperlink" Target="http://www.nevo.co.il/law/70301/378" TargetMode="External"/><Relationship Id="rId9" Type="http://schemas.openxmlformats.org/officeDocument/2006/relationships/hyperlink" Target="http://www.nevo.co.il/law/70301/144f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40c.b" TargetMode="External"/><Relationship Id="rId15" Type="http://schemas.openxmlformats.org/officeDocument/2006/relationships/hyperlink" Target="http://www.nevo.co.il/case/6142512" TargetMode="External"/><Relationship Id="rId16" Type="http://schemas.openxmlformats.org/officeDocument/2006/relationships/hyperlink" Target="http://www.nevo.co.il/case/26986954" TargetMode="External"/><Relationship Id="rId17" Type="http://schemas.openxmlformats.org/officeDocument/2006/relationships/hyperlink" Target="http://www.nevo.co.il/case/637380" TargetMode="External"/><Relationship Id="rId18" Type="http://schemas.openxmlformats.org/officeDocument/2006/relationships/hyperlink" Target="http://www.nevo.co.il/case/21476409" TargetMode="External"/><Relationship Id="rId19" Type="http://schemas.openxmlformats.org/officeDocument/2006/relationships/hyperlink" Target="http://www.nevo.co.il/case/16900220" TargetMode="External"/><Relationship Id="rId20" Type="http://schemas.openxmlformats.org/officeDocument/2006/relationships/hyperlink" Target="http://www.nevo.co.il/case/25764421" TargetMode="External"/><Relationship Id="rId21" Type="http://schemas.openxmlformats.org/officeDocument/2006/relationships/hyperlink" Target="http://www.nevo.co.il/case/25647402" TargetMode="External"/><Relationship Id="rId22" Type="http://schemas.openxmlformats.org/officeDocument/2006/relationships/hyperlink" Target="http://www.nevo.co.il/case/24263587" TargetMode="External"/><Relationship Id="rId23" Type="http://schemas.openxmlformats.org/officeDocument/2006/relationships/hyperlink" Target="http://www.nevo.co.il/case/22505624" TargetMode="External"/><Relationship Id="rId24" Type="http://schemas.openxmlformats.org/officeDocument/2006/relationships/hyperlink" Target="http://www.nevo.co.il/case/16900220" TargetMode="External"/><Relationship Id="rId25" Type="http://schemas.openxmlformats.org/officeDocument/2006/relationships/hyperlink" Target="http://www.nevo.co.il/case/22266176" TargetMode="External"/><Relationship Id="rId26" Type="http://schemas.openxmlformats.org/officeDocument/2006/relationships/hyperlink" Target="http://www.nevo.co.il/case/17959185" TargetMode="External"/><Relationship Id="rId27" Type="http://schemas.openxmlformats.org/officeDocument/2006/relationships/hyperlink" Target="http://www.nevo.co.il/case/27590865" TargetMode="External"/><Relationship Id="rId28" Type="http://schemas.openxmlformats.org/officeDocument/2006/relationships/hyperlink" Target="http://www.nevo.co.il/case/25630996" TargetMode="External"/><Relationship Id="rId29" Type="http://schemas.openxmlformats.org/officeDocument/2006/relationships/hyperlink" Target="http://www.nevo.co.il/case/21926886" TargetMode="External"/><Relationship Id="rId30" Type="http://schemas.openxmlformats.org/officeDocument/2006/relationships/hyperlink" Target="http://www.nevo.co.il/case/22793513" TargetMode="External"/><Relationship Id="rId31" Type="http://schemas.openxmlformats.org/officeDocument/2006/relationships/hyperlink" Target="http://www.nevo.co.il/case/25249776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2024-07-30T10:51:00Z</dcterms:created>
  <dc:creator> </dc:creator>
  <dc:description/>
  <cp:keywords/>
  <dc:language>en-IL</dc:language>
  <cp:lastModifiedBy>h1</cp:lastModifiedBy>
  <dcterms:modified xsi:type="dcterms:W3CDTF">2024-07-30T10:51:00Z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נסראללה עאסי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6142512;26986954;637380;21476409;16900220:2;25764421;25647402;24263587;22505624;22266176;17959185;27590865;25630996;21926886;22793513;25249776</vt:lpwstr>
  </property>
  <property fmtid="{D5CDD505-2E9C-101B-9397-08002B2CF9AE}" pid="9" name="CITY">
    <vt:lpwstr>י-ם</vt:lpwstr>
  </property>
  <property fmtid="{D5CDD505-2E9C-101B-9397-08002B2CF9AE}" pid="10" name="DATE">
    <vt:lpwstr>20230719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מוחמד חאג' יחיא</vt:lpwstr>
  </property>
  <property fmtid="{D5CDD505-2E9C-101B-9397-08002B2CF9AE}" pid="14" name="LAWLISTTMP1">
    <vt:lpwstr>70301/378;144f.a;040b;040c.a;040c.b</vt:lpwstr>
  </property>
  <property fmtid="{D5CDD505-2E9C-101B-9397-08002B2CF9AE}" pid="15" name="LAWYER">
    <vt:lpwstr>ספא נעאמנה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77446</vt:lpwstr>
  </property>
  <property fmtid="{D5CDD505-2E9C-101B-9397-08002B2CF9AE}" pid="22" name="NEWPARTB">
    <vt:lpwstr>12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380020230719</vt:lpwstr>
  </property>
  <property fmtid="{D5CDD505-2E9C-101B-9397-08002B2CF9AE}" pid="34" name="TYPE_N_DATE">
    <vt:lpwstr>38020230719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