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7801-06-09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חסן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7819-06-09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ברכה  בר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זיו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עאמר אבו שאדי חסן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רוחי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פידא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חסן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הייתם חסן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-p"/>
        <w:bidi w:val="1"/>
        <w:ind w:end="0"/>
        <w:jc w:val="start"/>
        <w:rPr/>
      </w:pPr>
      <w:bookmarkStart w:id="3" w:name="FirstLawyer"/>
      <w:r>
        <w:rPr>
          <w:rStyle w:val="12-h1"/>
          <w:rFonts w:cs="David"/>
          <w:rtl w:val="true"/>
        </w:rPr>
        <w:t>ב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כ</w:t>
      </w:r>
      <w:bookmarkEnd w:id="3"/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המאשימה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אדלר</w:t>
      </w:r>
    </w:p>
    <w:p>
      <w:pPr>
        <w:pStyle w:val="12-p"/>
        <w:bidi w:val="1"/>
        <w:ind w:end="0"/>
        <w:jc w:val="start"/>
        <w:rPr/>
      </w:pPr>
      <w:r>
        <w:rPr>
          <w:rStyle w:val="12-h1"/>
          <w:rFonts w:cs="David"/>
          <w:rtl w:val="true"/>
        </w:rPr>
        <w:t>ב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כ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נאשם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</w:rPr>
        <w:t>1</w:t>
      </w:r>
      <w:r>
        <w:rPr>
          <w:rStyle w:val="12-h1"/>
          <w:rFonts w:cs="David"/>
          <w:rtl w:val="true"/>
        </w:rPr>
        <w:t xml:space="preserve"> </w:t>
      </w:r>
      <w:r>
        <w:rPr>
          <w:rStyle w:val="12-h1"/>
          <w:rFonts w:eastAsia="David" w:cs="David" w:ascii="David" w:hAnsi="David"/>
          <w:rtl w:val="true"/>
        </w:rPr>
        <w:t>–</w:t>
      </w:r>
      <w:r>
        <w:rPr>
          <w:rStyle w:val="12-h1"/>
          <w:rFonts w:cs="David"/>
          <w:rtl w:val="true"/>
        </w:rPr>
        <w:t xml:space="preserve">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רייפר</w:t>
      </w:r>
    </w:p>
    <w:p>
      <w:pPr>
        <w:pStyle w:val="12-p"/>
        <w:bidi w:val="1"/>
        <w:ind w:end="0"/>
        <w:jc w:val="start"/>
        <w:rPr/>
      </w:pPr>
      <w:r>
        <w:rPr>
          <w:rStyle w:val="12-h1"/>
          <w:rFonts w:cs="David"/>
          <w:rtl w:val="true"/>
        </w:rPr>
        <w:t>ב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כ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נאשם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</w:rPr>
        <w:t>2</w:t>
      </w:r>
      <w:r>
        <w:rPr>
          <w:rStyle w:val="12-h1"/>
          <w:rFonts w:cs="David"/>
          <w:rtl w:val="true"/>
        </w:rPr>
        <w:t xml:space="preserve"> </w:t>
      </w:r>
      <w:r>
        <w:rPr>
          <w:rStyle w:val="12-h1"/>
          <w:rFonts w:eastAsia="David" w:cs="David" w:ascii="David" w:hAnsi="David"/>
          <w:rtl w:val="true"/>
        </w:rPr>
        <w:t>–</w:t>
      </w:r>
      <w:r>
        <w:rPr>
          <w:rStyle w:val="12-h1"/>
          <w:rFonts w:cs="David"/>
          <w:rtl w:val="true"/>
        </w:rPr>
        <w:t xml:space="preserve">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פלג</w:t>
      </w:r>
      <w:r>
        <w:rPr>
          <w:rStyle w:val="12-h1"/>
          <w:rtl w:val="true"/>
        </w:rPr>
        <w:t xml:space="preserve"> </w:t>
      </w:r>
    </w:p>
    <w:p>
      <w:pPr>
        <w:pStyle w:val="12-p"/>
        <w:bidi w:val="1"/>
        <w:ind w:end="0"/>
        <w:jc w:val="start"/>
        <w:rPr/>
      </w:pPr>
      <w:r>
        <w:rPr>
          <w:rStyle w:val="12-h1"/>
          <w:rFonts w:cs="David"/>
          <w:rtl w:val="true"/>
        </w:rPr>
        <w:t>ב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כ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נאשם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</w:rPr>
        <w:t>3</w:t>
      </w:r>
      <w:r>
        <w:rPr>
          <w:rStyle w:val="12-h1"/>
          <w:rFonts w:cs="David"/>
          <w:rtl w:val="true"/>
        </w:rPr>
        <w:t xml:space="preserve"> </w:t>
      </w:r>
      <w:r>
        <w:rPr>
          <w:rStyle w:val="12-h1"/>
          <w:rFonts w:eastAsia="David" w:cs="David" w:ascii="David" w:hAnsi="David"/>
          <w:rtl w:val="true"/>
        </w:rPr>
        <w:t>–</w:t>
      </w:r>
      <w:r>
        <w:rPr>
          <w:rStyle w:val="12-h1"/>
          <w:rFonts w:cs="David"/>
          <w:rtl w:val="true"/>
        </w:rPr>
        <w:t xml:space="preserve"> </w:t>
      </w:r>
      <w:r>
        <w:rPr>
          <w:rStyle w:val="12-h1"/>
          <w:rFonts w:cs="David"/>
          <w:rtl w:val="true"/>
        </w:rPr>
        <w:t>עו</w:t>
      </w:r>
      <w:r>
        <w:rPr>
          <w:rStyle w:val="12-h1"/>
          <w:rFonts w:cs="David"/>
          <w:rtl w:val="true"/>
        </w:rPr>
        <w:t>"</w:t>
      </w:r>
      <w:r>
        <w:rPr>
          <w:rStyle w:val="12-h1"/>
          <w:rFonts w:cs="David"/>
          <w:rtl w:val="true"/>
        </w:rPr>
        <w:t>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ניב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ישי</w:t>
      </w:r>
    </w:p>
    <w:p>
      <w:pPr>
        <w:pStyle w:val="12-p"/>
        <w:bidi w:val="1"/>
        <w:ind w:end="0"/>
        <w:jc w:val="start"/>
        <w:rPr/>
      </w:pPr>
      <w:r>
        <w:rPr>
          <w:rStyle w:val="12-h1"/>
          <w:rFonts w:cs="David"/>
          <w:rtl w:val="true"/>
        </w:rPr>
        <w:t>הנאשמים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–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באמצעות</w:t>
      </w:r>
      <w:r>
        <w:rPr>
          <w:rStyle w:val="12-h1"/>
          <w:rtl w:val="true"/>
        </w:rPr>
        <w:t xml:space="preserve"> </w:t>
      </w:r>
      <w:r>
        <w:rPr>
          <w:rStyle w:val="12-h1"/>
          <w:rFonts w:cs="David"/>
          <w:rtl w:val="true"/>
        </w:rPr>
        <w:t>הליווי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inks_Start"/>
      <w:bookmarkEnd w:id="4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חלק ראשון </w:t>
        </w:r>
      </w:hyperlink>
    </w:p>
    <w:p>
      <w:pPr>
        <w:pStyle w:val="David"/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David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David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382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402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499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9" w:name="LawTable_End"/>
      <w:bookmarkStart w:id="10" w:name="LawTable_End"/>
      <w:bookmarkEnd w:id="10"/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11" w:name="LastJudge"/>
      <w:bookmarkStart w:id="12" w:name="PsakDin"/>
      <w:bookmarkEnd w:id="11"/>
      <w:bookmarkEnd w:id="12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 שלושת הנאשמים שבפני הורשעו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קשירת קשר לביצוע פשע </w:t>
      </w:r>
      <w:r>
        <w:rPr>
          <w:rtl w:val="true"/>
        </w:rPr>
        <w:t>–</w:t>
      </w:r>
      <w:r>
        <w:rPr>
          <w:rtl w:val="true"/>
        </w:rPr>
        <w:t xml:space="preserve"> עבירה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שוד </w:t>
      </w:r>
      <w:r>
        <w:rPr>
          <w:rtl w:val="true"/>
        </w:rPr>
        <w:t>–</w:t>
      </w:r>
      <w:r>
        <w:rPr>
          <w:rtl w:val="true"/>
        </w:rPr>
        <w:t xml:space="preserve"> עבירה לפי סעיף </w:t>
      </w:r>
      <w:hyperlink r:id="rId16"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החזקת ונשיאת נשק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+ </w:t>
      </w:r>
      <w:hyperlink r:id="rId1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 xml:space="preserve">סעיף </w:t>
      </w:r>
      <w:hyperlink r:id="rId2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תקיפה בנסיבות מחמירות </w:t>
      </w:r>
      <w:r>
        <w:rPr>
          <w:rtl w:val="true"/>
        </w:rPr>
        <w:t>–</w:t>
      </w:r>
      <w:r>
        <w:rPr>
          <w:rtl w:val="true"/>
        </w:rPr>
        <w:t xml:space="preserve"> עבירה לפי סעיף  </w:t>
      </w:r>
      <w:hyperlink r:id="rId21"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>+</w:t>
      </w:r>
      <w:r>
        <w:rPr>
          <w:rtl w:val="true"/>
        </w:rPr>
        <w:t xml:space="preserve">סעיף </w:t>
      </w:r>
      <w:hyperlink r:id="rId22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+ </w:t>
      </w:r>
      <w:hyperlink r:id="rId2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 xml:space="preserve">שיבוש מהלכי משפט </w:t>
      </w:r>
      <w:r>
        <w:rPr>
          <w:rtl w:val="true"/>
        </w:rPr>
        <w:t>(</w:t>
      </w:r>
      <w:r>
        <w:rPr>
          <w:rtl w:val="true"/>
        </w:rPr>
        <w:t>מספר עבירות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עבירה לפי </w:t>
      </w:r>
      <w:hyperlink r:id="rId2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+ </w:t>
      </w:r>
      <w:hyperlink r:id="rId2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הורשע 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חבלה חמורה בנסיבות מחמירות </w:t>
      </w:r>
      <w:r>
        <w:rPr>
          <w:rtl w:val="true"/>
        </w:rPr>
        <w:t>–</w:t>
      </w:r>
      <w:r>
        <w:rPr>
          <w:rtl w:val="true"/>
        </w:rPr>
        <w:t xml:space="preserve"> עבירה לפי סעיף </w:t>
      </w:r>
      <w:hyperlink r:id="rId26"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+ </w:t>
      </w:r>
      <w:hyperlink r:id="rId2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הסדר הטעון</w:t>
      </w:r>
      <w:r>
        <w:rPr>
          <w:rtl w:val="true"/>
        </w:rPr>
        <w:t xml:space="preserve">, </w:t>
      </w:r>
      <w:r>
        <w:rPr>
          <w:rtl w:val="true"/>
        </w:rPr>
        <w:t xml:space="preserve">הגישה המאשימה כתב אישום מתוקן </w:t>
      </w:r>
      <w:r>
        <w:rPr>
          <w:rtl w:val="true"/>
        </w:rPr>
        <w:t xml:space="preserve">, </w:t>
      </w:r>
      <w:r>
        <w:rPr>
          <w:rtl w:val="true"/>
        </w:rPr>
        <w:t>בעובדותיו הודו הנאשמים</w:t>
      </w:r>
      <w:r>
        <w:rPr>
          <w:rtl w:val="true"/>
        </w:rPr>
        <w:t xml:space="preserve">. </w:t>
      </w:r>
      <w:r>
        <w:rPr>
          <w:rtl w:val="true"/>
        </w:rPr>
        <w:t>הסדר הטעון לא כלל הסכמה לעניין 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בהן הודו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החל מתחילת חודש אפריל קשרו הנאשמים קשר ביחד עם שלושה אחרים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האחרים</w:t>
      </w:r>
      <w:r>
        <w:rPr>
          <w:rtl w:val="true"/>
        </w:rPr>
        <w:t>) (</w:t>
      </w:r>
      <w:r>
        <w:rPr>
          <w:rtl w:val="true"/>
        </w:rPr>
        <w:t>שדינם נגזר ב</w:t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7756-06-09</w:t>
        </w:r>
      </w:hyperlink>
      <w:r>
        <w:rPr>
          <w:rtl w:val="true"/>
        </w:rPr>
        <w:t xml:space="preserve"> </w:t>
      </w:r>
      <w:r>
        <w:rPr>
          <w:rtl w:val="true"/>
        </w:rPr>
        <w:t>כפי שיפורט בהמשך</w:t>
      </w:r>
      <w:r>
        <w:rPr>
          <w:rtl w:val="true"/>
        </w:rPr>
        <w:t xml:space="preserve">) </w:t>
      </w:r>
      <w:r>
        <w:rPr>
          <w:rtl w:val="true"/>
        </w:rPr>
        <w:t>לבצע שוד בבנק ערבי ישראלי בכפר ראמה</w:t>
      </w:r>
      <w:r>
        <w:rPr>
          <w:rtl w:val="true"/>
        </w:rPr>
        <w:t xml:space="preserve">. </w:t>
      </w:r>
      <w:r>
        <w:rPr>
          <w:rtl w:val="true"/>
        </w:rPr>
        <w:t>על פי תוכנית הקשר שגיבשו הנאשמים והאחרים</w:t>
      </w:r>
      <w:r>
        <w:rPr>
          <w:rtl w:val="true"/>
        </w:rPr>
        <w:t xml:space="preserve">, </w:t>
      </w:r>
      <w:r>
        <w:rPr>
          <w:rtl w:val="true"/>
        </w:rPr>
        <w:t>הנאשמים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יגיעו לבנק ביחד עם שניים מהאחרים </w:t>
      </w:r>
      <w:r>
        <w:rPr>
          <w:rtl w:val="true"/>
        </w:rPr>
        <w:t xml:space="preserve">, </w:t>
      </w:r>
      <w:r>
        <w:rPr>
          <w:rtl w:val="true"/>
        </w:rPr>
        <w:t>ברכב שכור בו נוהג אחד מהשלושה האחרים</w:t>
      </w:r>
      <w:r>
        <w:rPr>
          <w:rtl w:val="true"/>
        </w:rPr>
        <w:t xml:space="preserve">, </w:t>
      </w:r>
      <w:r>
        <w:rPr>
          <w:rtl w:val="true"/>
        </w:rPr>
        <w:t xml:space="preserve">כשהם מצויידים באקדחים </w:t>
      </w:r>
      <w:r>
        <w:rPr>
          <w:rtl w:val="true"/>
        </w:rPr>
        <w:t xml:space="preserve">, </w:t>
      </w:r>
      <w:r>
        <w:rPr>
          <w:rtl w:val="true"/>
        </w:rPr>
        <w:t>רעולי פנים ועל ידיהם כפפות</w:t>
      </w:r>
      <w:r>
        <w:rPr>
          <w:rtl w:val="true"/>
        </w:rPr>
        <w:t xml:space="preserve">. </w:t>
      </w: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היה אמור לנהוג ברכב שכור נוסף בקרבת הבנק ולבדוק האם ניתן לבצע את המשימה </w:t>
      </w:r>
      <w:r>
        <w:rPr>
          <w:rtl w:val="true"/>
        </w:rPr>
        <w:t xml:space="preserve">. </w:t>
      </w:r>
      <w:r>
        <w:rPr>
          <w:rtl w:val="true"/>
        </w:rPr>
        <w:t xml:space="preserve">לאחר שיודיע 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היה על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להיכנס לבנק ביחד עם שניים מהאחרים</w:t>
      </w:r>
      <w:r>
        <w:rPr>
          <w:rtl w:val="true"/>
        </w:rPr>
        <w:t xml:space="preserve">, </w:t>
      </w:r>
      <w:r>
        <w:rPr>
          <w:rtl w:val="true"/>
        </w:rPr>
        <w:t>לחטוף את אקדחו של השומר</w:t>
      </w:r>
      <w:r>
        <w:rPr>
          <w:rtl w:val="true"/>
        </w:rPr>
        <w:t xml:space="preserve">, </w:t>
      </w:r>
      <w:r>
        <w:rPr>
          <w:rtl w:val="true"/>
        </w:rPr>
        <w:t>להיכנס לבנק ולגנוב ממנו כסף תוך איומים על עובדי הבנק ולאחר מכן ימלטו משם ברכב בו נהג האחר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התכנון גם שכרו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צימר על מנת לשבש הליכי משפט בהמשך וליצור אליבי מזוייף</w:t>
      </w:r>
      <w:r>
        <w:rPr>
          <w:rtl w:val="true"/>
        </w:rPr>
        <w:t xml:space="preserve">. </w:t>
      </w:r>
      <w:r>
        <w:rPr>
          <w:rtl w:val="true"/>
        </w:rPr>
        <w:t>בצימר הם גם בצעו את ההכנות ותכנון השוד ל</w:t>
      </w:r>
      <w:r>
        <w:rPr>
          <w:rtl w:val="true"/>
        </w:rPr>
        <w:t>-</w:t>
      </w:r>
      <w:r>
        <w:rPr>
          <w:rtl w:val="true"/>
        </w:rPr>
        <w:t>פרטיו</w:t>
      </w:r>
      <w:r>
        <w:rPr>
          <w:rtl w:val="true"/>
        </w:rPr>
        <w:t xml:space="preserve">, </w:t>
      </w:r>
      <w:r>
        <w:rPr>
          <w:rtl w:val="true"/>
        </w:rPr>
        <w:t>כאשר לצימר הגיעו גם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. </w:t>
      </w:r>
      <w:r>
        <w:rPr>
          <w:rtl w:val="true"/>
        </w:rPr>
        <w:t>בהמשך לקשר ולשם קידומו הביא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אקדח ובנוסף רכש אחד מהאחרים והנאשם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אקדח צעצוע וכן שכרו את הרכבים שישמשו אותם במהלך השוד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1.5.09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יום ביצוע השוד </w:t>
      </w:r>
      <w:r>
        <w:rPr>
          <w:rtl w:val="true"/>
        </w:rPr>
        <w:t>–</w:t>
      </w:r>
      <w:r>
        <w:rPr>
          <w:rtl w:val="true"/>
        </w:rPr>
        <w:t xml:space="preserve"> יצא הנאשם בשעות הבוקר לבנק ומשם הודיע לאחד האחרים כי השטח פנוי</w:t>
      </w:r>
      <w:r>
        <w:rPr>
          <w:rtl w:val="true"/>
        </w:rPr>
        <w:t xml:space="preserve">. </w:t>
      </w:r>
      <w:r>
        <w:rPr>
          <w:rtl w:val="true"/>
        </w:rPr>
        <w:t xml:space="preserve">בהמשך להודעה יצאו 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ביחד עם השניים האחרים ברכב השכור לעבר הבנק כשהם נושאים באקדח</w:t>
      </w:r>
      <w:r>
        <w:rPr>
          <w:rtl w:val="true"/>
        </w:rPr>
        <w:t xml:space="preserve">, </w:t>
      </w:r>
      <w:r>
        <w:rPr>
          <w:rtl w:val="true"/>
        </w:rPr>
        <w:t>באקדח הצעצוע וכאשר הם רעולי פנים ועל ידיהם כפפות</w:t>
      </w:r>
      <w:r>
        <w:rPr>
          <w:rtl w:val="true"/>
        </w:rPr>
        <w:t xml:space="preserve">. </w:t>
      </w:r>
      <w:r>
        <w:rPr>
          <w:rtl w:val="true"/>
        </w:rPr>
        <w:t>אחד האחרים גם החזיק תיק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בהגיעם לבנק היכו הנאשמים את שומר הבנק בראשו</w:t>
      </w:r>
      <w:r>
        <w:rPr>
          <w:rtl w:val="true"/>
        </w:rPr>
        <w:t xml:space="preserve">, </w:t>
      </w:r>
      <w:r>
        <w:rPr>
          <w:rtl w:val="true"/>
        </w:rPr>
        <w:t>גנבו ממנו את האקדח שנשא</w:t>
      </w:r>
      <w:r>
        <w:rPr>
          <w:rtl w:val="true"/>
        </w:rPr>
        <w:t xml:space="preserve">, </w:t>
      </w:r>
      <w:r>
        <w:rPr>
          <w:rtl w:val="true"/>
        </w:rPr>
        <w:t>ביחד עם המחסנית והכדורים ונכנסו לבנק כשהם מחזיקים באקדח</w:t>
      </w:r>
      <w:r>
        <w:rPr>
          <w:rtl w:val="true"/>
        </w:rPr>
        <w:t xml:space="preserve">, </w:t>
      </w:r>
      <w:r>
        <w:rPr>
          <w:rtl w:val="true"/>
        </w:rPr>
        <w:t>באקדח השומר ובאקדח הצעצוע על מנת לאיים על הנוכחים בבנק ולהפחידם</w:t>
      </w:r>
      <w:r>
        <w:rPr>
          <w:rtl w:val="true"/>
        </w:rPr>
        <w:t xml:space="preserve">. </w:t>
      </w:r>
      <w:r>
        <w:rPr>
          <w:rtl w:val="true"/>
        </w:rPr>
        <w:t xml:space="preserve">לאחר הכניסה לבנק נכנס האחר ביחד עם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לאזור הקופות וגנבו משם </w:t>
      </w:r>
      <w:r>
        <w:rPr/>
        <w:t>6,440</w:t>
      </w:r>
      <w:r>
        <w:rPr>
          <w:rtl w:val="true"/>
        </w:rPr>
        <w:t xml:space="preserve"> ₪. </w:t>
      </w: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 הנוסף עמדו באותה עת סמוך לדלת הכניסה</w:t>
      </w:r>
      <w:r>
        <w:rPr>
          <w:rtl w:val="true"/>
        </w:rPr>
        <w:t xml:space="preserve">. </w:t>
      </w:r>
      <w:r>
        <w:rPr>
          <w:rtl w:val="true"/>
        </w:rPr>
        <w:t>במהלך האמור</w:t>
      </w:r>
      <w:r>
        <w:rPr>
          <w:rtl w:val="true"/>
        </w:rPr>
        <w:t xml:space="preserve">, </w:t>
      </w:r>
      <w:r>
        <w:rPr>
          <w:rtl w:val="true"/>
        </w:rPr>
        <w:t xml:space="preserve">ירו הארבעה מספר יריות באוויר על מנת להפחיד את הנוכחים </w:t>
      </w:r>
      <w:r>
        <w:rPr>
          <w:rtl w:val="true"/>
        </w:rPr>
        <w:t xml:space="preserve">. </w:t>
      </w:r>
      <w:r>
        <w:rPr>
          <w:rtl w:val="true"/>
        </w:rPr>
        <w:t>במהלך השוד שמר האחר קשר טלפוני רצוף עם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, </w:t>
      </w:r>
      <w:r>
        <w:rPr>
          <w:rtl w:val="true"/>
        </w:rPr>
        <w:t>על מנת לוודא שאין כוחות בטחון שעשויים לסכל את ביצוע השוד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 היציאה מהבנק ירה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בשומר הבנק באמצעות האקדח שברשותו וגרם לו שבר מרוסק בירך ימין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 השוד נמלטו הנאשמים והאחרים לישוב שזור ושם זרקו את הבגדים שלבשו ואת התיק וחלקו ביניהם את השלל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כאשר אחד מהאחרים זומן למשטרה לחקירה </w:t>
      </w:r>
      <w:r>
        <w:rPr>
          <w:rtl w:val="true"/>
        </w:rPr>
        <w:t xml:space="preserve">, </w:t>
      </w:r>
      <w:r>
        <w:rPr>
          <w:rtl w:val="true"/>
        </w:rPr>
        <w:t>הוא שבר את כרטיס ה</w:t>
      </w:r>
      <w:r>
        <w:rPr>
          <w:rtl w:val="true"/>
        </w:rPr>
        <w:t>"</w:t>
      </w:r>
      <w:r>
        <w:rPr>
          <w:rtl w:val="true"/>
        </w:rPr>
        <w:t>סים</w:t>
      </w:r>
      <w:r>
        <w:rPr>
          <w:rtl w:val="true"/>
        </w:rPr>
        <w:t xml:space="preserve">" </w:t>
      </w:r>
      <w:r>
        <w:rPr>
          <w:rtl w:val="true"/>
        </w:rPr>
        <w:t>של הפלפון הסלולרי שהיה ברשותו במטרה למנוע חשיפתו</w:t>
      </w:r>
      <w:r>
        <w:rPr>
          <w:rtl w:val="true"/>
        </w:rPr>
        <w:t xml:space="preserve">. </w:t>
      </w:r>
      <w:r>
        <w:rPr>
          <w:rtl w:val="true"/>
        </w:rPr>
        <w:t>כן מסרו הנאשמים והאחרים אליבי שיקרי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ביום </w:t>
      </w:r>
      <w:r>
        <w:rPr/>
        <w:t>17.1.2010</w:t>
      </w:r>
      <w:r>
        <w:rPr>
          <w:rtl w:val="true"/>
        </w:rPr>
        <w:t xml:space="preserve"> </w:t>
      </w:r>
      <w:r>
        <w:rPr>
          <w:rtl w:val="true"/>
        </w:rPr>
        <w:t>ניתן על ידי כבוד השופטת שטמר גזר דינם של שניים מהאחרים</w:t>
      </w:r>
      <w:r>
        <w:rPr>
          <w:rtl w:val="true"/>
        </w:rPr>
        <w:t xml:space="preserve">. </w:t>
      </w:r>
      <w:r>
        <w:rPr>
          <w:rtl w:val="true"/>
        </w:rPr>
        <w:t xml:space="preserve">כבוד השופטת שטמר הבחינה בין חלקו של אחד האחרים שפעל </w:t>
      </w:r>
      <w:r>
        <w:rPr>
          <w:rtl w:val="true"/>
        </w:rPr>
        <w:t>"</w:t>
      </w:r>
      <w:r>
        <w:rPr>
          <w:rtl w:val="true"/>
        </w:rPr>
        <w:t>בעין הסערה</w:t>
      </w:r>
      <w:r>
        <w:rPr>
          <w:rtl w:val="true"/>
        </w:rPr>
        <w:t xml:space="preserve">", </w:t>
      </w:r>
      <w:r>
        <w:rPr>
          <w:rtl w:val="true"/>
        </w:rPr>
        <w:t>דהיינו בתוך מעגל השותפים שפעלו בתוך הבנק ופגעו בשומר</w:t>
      </w:r>
      <w:r>
        <w:rPr>
          <w:rtl w:val="true"/>
        </w:rPr>
        <w:t xml:space="preserve">, </w:t>
      </w:r>
      <w:r>
        <w:rPr>
          <w:rtl w:val="true"/>
        </w:rPr>
        <w:t xml:space="preserve">תחילה במכות על ראשו על מנת לשדוד ממנו את אקדחו ולאחר מכן בירי של אחד מהם </w:t>
      </w:r>
      <w:r>
        <w:rPr>
          <w:rtl w:val="true"/>
        </w:rPr>
        <w:t>(</w:t>
      </w: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בגזר הדין שבפני </w:t>
      </w:r>
      <w:r>
        <w:rPr>
          <w:rtl w:val="true"/>
        </w:rPr>
        <w:t>–</w:t>
      </w:r>
      <w:r>
        <w:rPr>
          <w:rtl w:val="true"/>
        </w:rPr>
        <w:t xml:space="preserve"> הערה שלי </w:t>
      </w:r>
      <w:r>
        <w:rPr>
          <w:rtl w:val="true"/>
        </w:rPr>
        <w:t>–</w:t>
      </w:r>
      <w:r>
        <w:rPr>
          <w:rtl w:val="true"/>
        </w:rPr>
        <w:t xml:space="preserve"> ב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.)".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שני הנאשמים שם הורשעו גם הם  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העבירות בהן הורשעו כל שלושת הנאשמים שבפני כאשר עבירת החבלה מיוחסת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r>
        <w:rPr>
          <w:rtl w:val="true"/>
        </w:rPr>
        <w:t xml:space="preserve">, </w:t>
      </w:r>
      <w:r>
        <w:rPr>
          <w:rtl w:val="true"/>
        </w:rPr>
        <w:t>רק לנאשם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כבוד השופטת שטמר גזרה על הנאשם שהיה ב</w:t>
      </w:r>
      <w:r>
        <w:rPr>
          <w:rtl w:val="true"/>
        </w:rPr>
        <w:t>"</w:t>
      </w:r>
      <w:r>
        <w:rPr>
          <w:rtl w:val="true"/>
        </w:rPr>
        <w:t>עין הסערה</w:t>
      </w:r>
      <w:r>
        <w:rPr>
          <w:rtl w:val="true"/>
        </w:rPr>
        <w:t xml:space="preserve">" </w:t>
      </w:r>
      <w:r>
        <w:rPr>
          <w:rtl w:val="true"/>
        </w:rPr>
        <w:t xml:space="preserve">שש שנות מאסר וכן מאסר על תנאי ועל האחר השני </w:t>
      </w:r>
      <w:r>
        <w:rPr>
          <w:rtl w:val="true"/>
        </w:rPr>
        <w:t>–</w:t>
      </w:r>
      <w:r>
        <w:rPr>
          <w:rtl w:val="true"/>
        </w:rPr>
        <w:t xml:space="preserve"> חמש שנות מאסר ומאסר על תנאי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שלושת הנאשמים שוהים במעצר מיום </w:t>
      </w:r>
      <w:r>
        <w:rPr/>
        <w:t>13.5.09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יליד שנת </w:t>
      </w:r>
      <w:r>
        <w:rPr/>
        <w:t>1986</w:t>
      </w:r>
      <w:r>
        <w:rPr>
          <w:rtl w:val="true"/>
        </w:rPr>
        <w:t xml:space="preserve">. </w:t>
      </w: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 אחיו של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שרות המבחן  ערך תסקיר בעניינו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ובו סקר את מצב משפחתו </w:t>
      </w:r>
      <w:r>
        <w:rPr>
          <w:rtl w:val="true"/>
        </w:rPr>
        <w:t>–</w:t>
      </w:r>
      <w:r>
        <w:rPr>
          <w:rtl w:val="true"/>
        </w:rPr>
        <w:t xml:space="preserve"> משפחה קשת יום שהתקשתה לספק צרכי הנאשמים</w:t>
      </w:r>
      <w:r>
        <w:rPr>
          <w:rtl w:val="true"/>
        </w:rPr>
        <w:t xml:space="preserve">. </w:t>
      </w: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התגייס לצה</w:t>
      </w:r>
      <w:r>
        <w:rPr>
          <w:rtl w:val="true"/>
        </w:rPr>
        <w:t>"</w:t>
      </w:r>
      <w:r>
        <w:rPr>
          <w:rtl w:val="true"/>
        </w:rPr>
        <w:t>ל ושירת שנה ומחצה כמעט ואז ערק</w:t>
      </w:r>
      <w:r>
        <w:rPr>
          <w:rtl w:val="true"/>
        </w:rPr>
        <w:t xml:space="preserve">, </w:t>
      </w:r>
      <w:r>
        <w:rPr>
          <w:rtl w:val="true"/>
        </w:rPr>
        <w:t>נידון 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 מחבוש ושוחרר מצה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התקשה לקבל אחריות מלאה למיוחס לו והציג עצמו כקורבן סיטואציה</w:t>
      </w:r>
      <w:r>
        <w:rPr>
          <w:rtl w:val="true"/>
        </w:rPr>
        <w:t xml:space="preserve">, </w:t>
      </w:r>
      <w:r>
        <w:rPr>
          <w:rtl w:val="true"/>
        </w:rPr>
        <w:t>כאשר הוא מאשים את שני הנאשמים 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התרשם כי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בעל מאפייני אישיות דלים</w:t>
      </w:r>
      <w:r>
        <w:rPr>
          <w:rtl w:val="true"/>
        </w:rPr>
        <w:t xml:space="preserve">, </w:t>
      </w:r>
      <w:r>
        <w:rPr>
          <w:rtl w:val="true"/>
        </w:rPr>
        <w:t xml:space="preserve">נוטה להשליך קשייו וכישלונותיו על גורמים חיצוניים </w:t>
      </w:r>
      <w:r>
        <w:rPr>
          <w:rtl w:val="true"/>
        </w:rPr>
        <w:t xml:space="preserve">, </w:t>
      </w:r>
      <w:r>
        <w:rPr>
          <w:rtl w:val="true"/>
        </w:rPr>
        <w:t>ואינו בשל לתהליך של בדיקה והתבוננות פנימית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לא בא בהמלצה 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יליד </w:t>
      </w:r>
      <w:r>
        <w:rPr/>
        <w:t>3.3.90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קיבל אחריות מילולית למיוחס לו בלבד</w:t>
      </w:r>
      <w:r>
        <w:rPr>
          <w:rtl w:val="true"/>
        </w:rPr>
        <w:t xml:space="preserve">, </w:t>
      </w:r>
      <w:r>
        <w:rPr>
          <w:rtl w:val="true"/>
        </w:rPr>
        <w:t>כאשר לדבריו הוא נגרר אחר שותפיו לעבירה האחרים</w:t>
      </w:r>
      <w:r>
        <w:rPr>
          <w:rtl w:val="true"/>
        </w:rPr>
        <w:t xml:space="preserve">, </w:t>
      </w:r>
      <w:r>
        <w:rPr>
          <w:rtl w:val="true"/>
        </w:rPr>
        <w:t>ולא הבין משמעות מעשיו</w:t>
      </w:r>
      <w:r>
        <w:rPr>
          <w:rtl w:val="true"/>
        </w:rPr>
        <w:t xml:space="preserve">. </w:t>
      </w:r>
      <w:r>
        <w:rPr>
          <w:rtl w:val="true"/>
        </w:rPr>
        <w:t>שרות המבחן התרשם כי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מתקשה לדחות סיפוקים ולווסת דחפיו וניכרת השפעת הקבוצה על תפקודו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לאור מאפייניו החלשים </w:t>
      </w:r>
      <w:r>
        <w:rPr>
          <w:rtl w:val="true"/>
        </w:rPr>
        <w:t xml:space="preserve">, </w:t>
      </w:r>
      <w:r>
        <w:rPr>
          <w:rtl w:val="true"/>
        </w:rPr>
        <w:t>לא בא שרות המבחן בהמלצה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יליד </w:t>
      </w:r>
      <w:r>
        <w:rPr/>
        <w:t>11.6.89</w:t>
      </w:r>
      <w:r>
        <w:rPr>
          <w:rtl w:val="true"/>
        </w:rPr>
        <w:t xml:space="preserve">. </w:t>
      </w:r>
      <w:r>
        <w:rPr>
          <w:rtl w:val="true"/>
        </w:rPr>
        <w:t>שירות המבחן פרט בתסקירו נסיבות משפחתיות קשות ביותר</w:t>
      </w:r>
      <w:r>
        <w:rPr>
          <w:rtl w:val="true"/>
        </w:rPr>
        <w:t xml:space="preserve">, </w:t>
      </w:r>
      <w:r>
        <w:rPr>
          <w:rtl w:val="true"/>
        </w:rPr>
        <w:t>כאשר משפחתו חוותה טראומה קשה עת אביו רצח את אחותו ונידון למאסר עולם</w:t>
      </w:r>
      <w:r>
        <w:rPr>
          <w:rtl w:val="true"/>
        </w:rPr>
        <w:t xml:space="preserve">, </w:t>
      </w:r>
      <w:r>
        <w:rPr>
          <w:rtl w:val="true"/>
        </w:rPr>
        <w:t xml:space="preserve">אימו חולה ואחיו השתחררו לאחרונה ממאסר ממושך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התרשם כי הנאשם מופנם</w:t>
      </w:r>
      <w:r>
        <w:rPr>
          <w:rtl w:val="true"/>
        </w:rPr>
        <w:t xml:space="preserve">, </w:t>
      </w:r>
      <w:r>
        <w:rPr>
          <w:rtl w:val="true"/>
        </w:rPr>
        <w:t>חשדן וחסר בשלות</w:t>
      </w:r>
      <w:r>
        <w:rPr>
          <w:rtl w:val="true"/>
        </w:rPr>
        <w:t xml:space="preserve">. </w:t>
      </w:r>
      <w:r>
        <w:rPr>
          <w:rtl w:val="true"/>
        </w:rPr>
        <w:t>קיבל אחריות מילולית בלבד למעשיו כאשר הוא מצמצם במשמעות מעשיו וחלקו בביצוע העבירות</w:t>
      </w:r>
      <w:r>
        <w:rPr>
          <w:rtl w:val="true"/>
        </w:rPr>
        <w:t xml:space="preserve">. </w:t>
      </w:r>
      <w:r>
        <w:rPr>
          <w:rtl w:val="true"/>
        </w:rPr>
        <w:t>שירות המבחן העריך כי אינו בשל לשינוי ונמנע מהמלצה טיפולית 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 הראיות לעונש הגישה ב</w:t>
      </w:r>
      <w:r>
        <w:rPr>
          <w:rtl w:val="true"/>
        </w:rPr>
        <w:t>"</w:t>
      </w:r>
      <w:r>
        <w:rPr>
          <w:rtl w:val="true"/>
        </w:rPr>
        <w:t>כ המאשימה את גיליון הרישום הפלילי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ממנו עולה כי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הורשע בשנת </w:t>
      </w:r>
      <w:r>
        <w:rPr/>
        <w:t>2005</w:t>
      </w:r>
      <w:r>
        <w:rPr>
          <w:rtl w:val="true"/>
        </w:rPr>
        <w:t xml:space="preserve">,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ד צבאי</w:t>
      </w:r>
      <w:r>
        <w:rPr>
          <w:rtl w:val="true"/>
        </w:rPr>
        <w:t xml:space="preserve">, </w:t>
      </w:r>
      <w:r>
        <w:rPr>
          <w:rtl w:val="true"/>
        </w:rPr>
        <w:t>בעבירה של העדר מן השירות שלא ברשות</w:t>
      </w:r>
      <w:r>
        <w:rPr>
          <w:rtl w:val="true"/>
        </w:rPr>
        <w:t xml:space="preserve">.  </w:t>
      </w:r>
      <w:r>
        <w:rPr>
          <w:rtl w:val="true"/>
        </w:rPr>
        <w:t xml:space="preserve">בשנת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עבר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עבירה של החזקת נשק והוטלה עליו התחייבות להימנע מעבירה בסך </w:t>
      </w:r>
      <w:r>
        <w:rPr/>
        <w:t>4,000</w:t>
      </w:r>
      <w:r>
        <w:rPr>
          <w:rtl w:val="true"/>
        </w:rPr>
        <w:t xml:space="preserve"> ₪, </w:t>
      </w:r>
      <w:r>
        <w:rPr>
          <w:rtl w:val="true"/>
        </w:rPr>
        <w:t xml:space="preserve">שלא יעבור כל עבירה לפי </w:t>
      </w:r>
      <w:hyperlink r:id="rId2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 העונשין</w:t>
        </w:r>
      </w:hyperlink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 הוגש מטעם המאשימה סיכום אשפוז של 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הגישה דוח סוציאלי מהמחלקה לשירותים חברתיים המתייחס למשפחת הנאשמים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וכן מסמכים רפואיים בעניין הוריהם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מדובר בשוד מתוכנן מראש</w:t>
      </w:r>
      <w:r>
        <w:rPr>
          <w:rtl w:val="true"/>
        </w:rPr>
        <w:t xml:space="preserve">, </w:t>
      </w:r>
      <w:r>
        <w:rPr>
          <w:rtl w:val="true"/>
        </w:rPr>
        <w:t>כאשר חומרה מיוחדת נובעת מהעובדה שבמהלך השוד נפצע שומר הבנק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ביקשה להחמיר במיוחד בעונשו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שביצע את הירי</w:t>
      </w:r>
      <w:r>
        <w:rPr>
          <w:rtl w:val="true"/>
        </w:rPr>
        <w:t xml:space="preserve">, </w:t>
      </w:r>
      <w:r>
        <w:rPr>
          <w:rtl w:val="true"/>
        </w:rPr>
        <w:t>ואף הורשע בעבירה של חבלה חמורה בנסיבות מחמירות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ביקשה להחמיר גם בעונשם של האחרים</w:t>
      </w:r>
      <w:r>
        <w:rPr>
          <w:rtl w:val="true"/>
        </w:rPr>
        <w:t xml:space="preserve">, </w:t>
      </w:r>
      <w:r>
        <w:rPr>
          <w:rtl w:val="true"/>
        </w:rPr>
        <w:t>שהיו מודעים לכך שהם מגיעים לבנק כשהם מזויינים וכאשר הירי בשומר מהווה חלק מהשוד</w:t>
      </w:r>
      <w:r>
        <w:rPr>
          <w:rtl w:val="true"/>
        </w:rPr>
        <w:t xml:space="preserve">, </w:t>
      </w:r>
      <w:r>
        <w:rPr>
          <w:rtl w:val="true"/>
        </w:rPr>
        <w:t xml:space="preserve">בהיותו תכוף לו </w:t>
      </w:r>
      <w:r>
        <w:rPr>
          <w:rtl w:val="true"/>
        </w:rPr>
        <w:t>(</w:t>
      </w:r>
      <w:r>
        <w:rPr>
          <w:rtl w:val="true"/>
        </w:rPr>
        <w:t xml:space="preserve">כאמור </w:t>
      </w:r>
      <w:hyperlink r:id="rId31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לאמור בתסקיר שירות המבחן באשר לקבלת האחריות של הנאשמים לביצוע העבירות וכן הפנתה לגזר דינה של כבוד השופטת שטמר ולעונשים שהוטלו שם על האחרים</w:t>
      </w:r>
      <w:r>
        <w:rPr>
          <w:rtl w:val="true"/>
        </w:rPr>
        <w:t xml:space="preserve">. </w:t>
      </w:r>
      <w:r>
        <w:rPr>
          <w:rtl w:val="true"/>
        </w:rPr>
        <w:t>בסופו של דבר ביקשה ב</w:t>
      </w:r>
      <w:r>
        <w:rPr>
          <w:rtl w:val="true"/>
        </w:rPr>
        <w:t>"</w:t>
      </w:r>
      <w:r>
        <w:rPr>
          <w:rtl w:val="true"/>
        </w:rPr>
        <w:t>כ המאשימה להטיל על הנאשמים עונש של מאסר בפועל לתקופה ארוכה ומשמעותית</w:t>
      </w:r>
      <w:r>
        <w:rPr>
          <w:rtl w:val="true"/>
        </w:rPr>
        <w:t xml:space="preserve">, </w:t>
      </w:r>
      <w:r>
        <w:rPr>
          <w:rtl w:val="true"/>
        </w:rPr>
        <w:t xml:space="preserve">בנוסף למאסר על תנאי מרתיע ופיצוי למתלונן </w:t>
      </w:r>
      <w:r>
        <w:rPr>
          <w:rtl w:val="true"/>
        </w:rPr>
        <w:t>(</w:t>
      </w:r>
      <w:r>
        <w:rPr>
          <w:rtl w:val="true"/>
        </w:rPr>
        <w:t>שומר הבנק</w:t>
      </w:r>
      <w:r>
        <w:rPr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סניגורו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ביקש להביא בחשבון </w:t>
      </w:r>
      <w:r>
        <w:rPr>
          <w:rtl w:val="true"/>
        </w:rPr>
        <w:t xml:space="preserve">, </w:t>
      </w:r>
      <w:r>
        <w:rPr>
          <w:rtl w:val="true"/>
        </w:rPr>
        <w:t>במסגרת שיקולי הענישה</w:t>
      </w:r>
      <w:r>
        <w:rPr>
          <w:rtl w:val="true"/>
        </w:rPr>
        <w:t xml:space="preserve">, </w:t>
      </w:r>
      <w:r>
        <w:rPr>
          <w:rtl w:val="true"/>
        </w:rPr>
        <w:t>את העובדה שהנאשם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הודה מיד עם תיקון כתב האישום </w:t>
      </w:r>
      <w:r>
        <w:rPr>
          <w:rtl w:val="true"/>
        </w:rPr>
        <w:t xml:space="preserve">( </w:t>
      </w:r>
      <w:r>
        <w:rPr>
          <w:rtl w:val="true"/>
        </w:rPr>
        <w:t>כאשר בעצם ההודיה יש לראות קבלת אחריות</w:t>
      </w:r>
      <w:r>
        <w:rPr>
          <w:rtl w:val="true"/>
        </w:rPr>
        <w:t xml:space="preserve">), </w:t>
      </w:r>
      <w:r>
        <w:rPr>
          <w:rtl w:val="true"/>
        </w:rPr>
        <w:t>ואת החיסכון בזמן השיפוטי</w:t>
      </w:r>
      <w:r>
        <w:rPr>
          <w:rtl w:val="true"/>
        </w:rPr>
        <w:t xml:space="preserve">. </w:t>
      </w:r>
      <w:r>
        <w:rPr>
          <w:rtl w:val="true"/>
        </w:rPr>
        <w:t>כן טען כי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עשה טעות כאשר נכנס עם נשק לסיטואציה שבשיקול נבון לא היה נכנס אליה</w:t>
      </w:r>
      <w:r>
        <w:rPr>
          <w:rtl w:val="true"/>
        </w:rPr>
        <w:t xml:space="preserve">. </w:t>
      </w:r>
      <w:r>
        <w:rPr>
          <w:rtl w:val="true"/>
        </w:rPr>
        <w:t>עוד טען כי אמנם לנאשם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מיוחסת עבירה נוספת של חבלה חמורה </w:t>
      </w:r>
      <w:r>
        <w:rPr>
          <w:rtl w:val="true"/>
        </w:rPr>
        <w:t>"</w:t>
      </w:r>
      <w:r>
        <w:rPr>
          <w:rtl w:val="true"/>
        </w:rPr>
        <w:t>אך מבחינת הסיכון שהיה בלחץ</w:t>
      </w:r>
      <w:r>
        <w:rPr>
          <w:rtl w:val="true"/>
        </w:rPr>
        <w:t xml:space="preserve">, </w:t>
      </w:r>
      <w:r>
        <w:rPr>
          <w:rtl w:val="true"/>
        </w:rPr>
        <w:t>אין מקום להחמיר בעונשו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סניגורו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הפנה לנסיבותיו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כפי שהובאו בתסקיר שירות המבחן</w:t>
      </w:r>
      <w:r>
        <w:rPr>
          <w:rtl w:val="true"/>
        </w:rPr>
        <w:t xml:space="preserve">, </w:t>
      </w:r>
      <w:r>
        <w:rPr>
          <w:rtl w:val="true"/>
        </w:rPr>
        <w:t>למצב בני משפחתו</w:t>
      </w:r>
      <w:r>
        <w:rPr>
          <w:rtl w:val="true"/>
        </w:rPr>
        <w:t xml:space="preserve">. </w:t>
      </w:r>
      <w:r>
        <w:rPr>
          <w:rtl w:val="true"/>
        </w:rPr>
        <w:t>הסניגור טען שיש עדיין סיכוי לשיקום אמיתי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וביקש לא להחמיר בעונשו מעבר לעונש שנגזר על האחרים על ידי כבוד השופטת שטמר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הסניגורים של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טענו גם הן לנסיבות האישיות הקשות של הנאשם</w:t>
      </w:r>
      <w:r>
        <w:rPr>
          <w:rtl w:val="true"/>
        </w:rPr>
        <w:t xml:space="preserve">, </w:t>
      </w:r>
      <w:r>
        <w:rPr>
          <w:rtl w:val="true"/>
        </w:rPr>
        <w:t>שעל רקען יש לראות את נסיבות ביצוע העבירה</w:t>
      </w:r>
      <w:r>
        <w:rPr>
          <w:rtl w:val="true"/>
        </w:rPr>
        <w:t xml:space="preserve">. </w:t>
      </w:r>
      <w:r>
        <w:rPr>
          <w:rtl w:val="true"/>
        </w:rPr>
        <w:t>הן טענו כי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הינו הצעיר בין בני החבורה </w:t>
      </w:r>
      <w:r>
        <w:rPr>
          <w:rtl w:val="true"/>
        </w:rPr>
        <w:t xml:space="preserve">, </w:t>
      </w:r>
      <w:r>
        <w:rPr>
          <w:rtl w:val="true"/>
        </w:rPr>
        <w:t>היה על סף הקטינות וחלקו באירוע השוד היה מזערי</w:t>
      </w:r>
      <w:r>
        <w:rPr>
          <w:rtl w:val="true"/>
        </w:rPr>
        <w:t xml:space="preserve">, </w:t>
      </w:r>
      <w:r>
        <w:rPr>
          <w:rtl w:val="true"/>
        </w:rPr>
        <w:t>גם אם מבחינת החוק הוא היה שותף מלא</w:t>
      </w:r>
      <w:r>
        <w:rPr>
          <w:rtl w:val="true"/>
        </w:rPr>
        <w:t xml:space="preserve">. </w:t>
      </w:r>
      <w:r>
        <w:rPr>
          <w:rtl w:val="true"/>
        </w:rPr>
        <w:t>לטענתן</w:t>
      </w:r>
      <w:r>
        <w:rPr>
          <w:rtl w:val="true"/>
        </w:rPr>
        <w:t xml:space="preserve">, </w:t>
      </w: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 היה שותף לתכנון השוד</w:t>
      </w:r>
      <w:r>
        <w:rPr>
          <w:rtl w:val="true"/>
        </w:rPr>
        <w:t xml:space="preserve">, </w:t>
      </w:r>
      <w:r>
        <w:rPr>
          <w:rtl w:val="true"/>
        </w:rPr>
        <w:t>הוא עצמו לא היה מזויין בנשק וגם החזקת הנשק וגם תקיפת השומר מיוחסים לו מכוח דיני השותפות בלבד</w:t>
      </w:r>
      <w:r>
        <w:rPr>
          <w:rtl w:val="true"/>
        </w:rPr>
        <w:t xml:space="preserve">. </w:t>
      </w:r>
      <w:r>
        <w:rPr>
          <w:rtl w:val="true"/>
        </w:rPr>
        <w:t>הן טענו גם כי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ירה בשומר באופן ספונטני וללא תכלית וכמובן בלא תכנון מוקדם</w:t>
      </w:r>
      <w:r>
        <w:rPr>
          <w:rtl w:val="true"/>
        </w:rPr>
        <w:t xml:space="preserve">, </w:t>
      </w:r>
      <w:r>
        <w:rPr>
          <w:rtl w:val="true"/>
        </w:rPr>
        <w:t>כאשר כל אלה מצביעים על העדר התחכום שלו וחוסר בגרותו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הסניגור של 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טען גם הוא כי מדובר בצעיר שמעד בפעם הראשונה</w:t>
      </w:r>
      <w:r>
        <w:rPr>
          <w:rtl w:val="true"/>
        </w:rPr>
        <w:t xml:space="preserve">, </w:t>
      </w:r>
      <w:r>
        <w:rPr>
          <w:rtl w:val="true"/>
        </w:rPr>
        <w:t>הביע חרטה על מעשיו</w:t>
      </w:r>
      <w:r>
        <w:rPr>
          <w:rtl w:val="true"/>
        </w:rPr>
        <w:t xml:space="preserve">, </w:t>
      </w:r>
      <w:r>
        <w:rPr>
          <w:rtl w:val="true"/>
        </w:rPr>
        <w:t>והודה בהזדמנות הראשונה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חלקו של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אינו שווה לזה של האחרים</w:t>
      </w:r>
      <w:r>
        <w:rPr>
          <w:rtl w:val="true"/>
        </w:rPr>
        <w:t xml:space="preserve">, </w:t>
      </w:r>
      <w:r>
        <w:rPr>
          <w:rtl w:val="true"/>
        </w:rPr>
        <w:t xml:space="preserve">כאשר כבר מלכתחילה נועד לו </w:t>
      </w:r>
      <w:r>
        <w:rPr>
          <w:rtl w:val="true"/>
        </w:rPr>
        <w:t>"</w:t>
      </w:r>
      <w:r>
        <w:rPr>
          <w:rtl w:val="true"/>
        </w:rPr>
        <w:t>תפקיד חיצוני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הוא כלל לא נכנס לבנק ואפילו לא היה הנהג של השוד</w:t>
      </w:r>
      <w:r>
        <w:rPr>
          <w:rtl w:val="true"/>
        </w:rPr>
        <w:t xml:space="preserve">. </w:t>
      </w:r>
      <w:r>
        <w:rPr>
          <w:rtl w:val="true"/>
        </w:rPr>
        <w:t>לטענתו שימש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כתצפיתן בלבד ולכן צריך להתייחס אליו בצורה שונה לגמרי ולקחת זאת בחשבון בעת גזירת 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סניגורו של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 לאבחן בין עובדות כתבי האישום בהן הורשעו הנאשמים האחרים על ידי כבוד  השופטת שטמר</w:t>
      </w:r>
      <w:r>
        <w:rPr>
          <w:rtl w:val="true"/>
        </w:rPr>
        <w:t xml:space="preserve">, </w:t>
      </w:r>
      <w:r>
        <w:rPr>
          <w:rtl w:val="true"/>
        </w:rPr>
        <w:t>ובהתאם גם נגזר דינם</w:t>
      </w:r>
      <w:r>
        <w:rPr>
          <w:rtl w:val="true"/>
        </w:rPr>
        <w:t xml:space="preserve">, </w:t>
      </w:r>
      <w:r>
        <w:rPr>
          <w:rtl w:val="true"/>
        </w:rPr>
        <w:t>לבין העובדות בהן הודה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סניגורו של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הפנה לנסיבות האישיות הקשות ויוצאות הדופן  של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וכן ביקש לתת ביטוי  בעונש לגילו הצעיר של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 - </w:t>
      </w:r>
      <w:r>
        <w:rPr>
          <w:rtl w:val="true"/>
        </w:rPr>
        <w:t>שהיה על סף הקטינות</w:t>
      </w:r>
      <w:r>
        <w:rPr>
          <w:rtl w:val="true"/>
        </w:rPr>
        <w:t xml:space="preserve">, </w:t>
      </w:r>
      <w:r>
        <w:rPr>
          <w:rtl w:val="true"/>
        </w:rPr>
        <w:t>כאשר ענישת קטין הינה שונה מזו של הבגיר</w:t>
      </w:r>
      <w:r>
        <w:rPr>
          <w:rtl w:val="true"/>
        </w:rPr>
        <w:t xml:space="preserve">. </w:t>
      </w:r>
      <w:r>
        <w:rPr>
          <w:rtl w:val="true"/>
        </w:rPr>
        <w:t xml:space="preserve">הסניגור הפנה לפסיקה הדנה בענישת קטינים וביקש לאמץ סוג זה של </w:t>
      </w:r>
      <w:r>
        <w:rPr>
          <w:rtl w:val="true"/>
        </w:rPr>
        <w:t>"</w:t>
      </w:r>
      <w:r>
        <w:rPr>
          <w:rtl w:val="true"/>
        </w:rPr>
        <w:t>אחריות מוחלטת</w:t>
      </w:r>
      <w:r>
        <w:rPr>
          <w:rtl w:val="true"/>
        </w:rPr>
        <w:t xml:space="preserve">" </w:t>
      </w:r>
      <w:r>
        <w:rPr>
          <w:rtl w:val="true"/>
        </w:rPr>
        <w:t xml:space="preserve">גם על הנאשם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 xml:space="preserve">הסניגור הפנה לתסקיר שירות המבחן על מנת להראות שלנאשם תכונות של קטין </w:t>
      </w:r>
      <w:r>
        <w:rPr>
          <w:rtl w:val="true"/>
        </w:rPr>
        <w:t>–</w:t>
      </w:r>
      <w:r>
        <w:rPr>
          <w:rtl w:val="true"/>
        </w:rPr>
        <w:t xml:space="preserve"> צעיר מופנם</w:t>
      </w:r>
      <w:r>
        <w:rPr>
          <w:rtl w:val="true"/>
        </w:rPr>
        <w:t xml:space="preserve">, </w:t>
      </w:r>
      <w:r>
        <w:rPr>
          <w:rtl w:val="true"/>
        </w:rPr>
        <w:t>בעל בטחון והערכה  נמוכים</w:t>
      </w:r>
      <w:r>
        <w:rPr>
          <w:rtl w:val="true"/>
        </w:rPr>
        <w:t xml:space="preserve">, </w:t>
      </w:r>
      <w:r>
        <w:rPr>
          <w:rtl w:val="true"/>
        </w:rPr>
        <w:t>חסר בשלות ברמה הרגשית</w:t>
      </w:r>
      <w:r>
        <w:rPr>
          <w:rtl w:val="true"/>
        </w:rPr>
        <w:t xml:space="preserve">, </w:t>
      </w:r>
      <w:r>
        <w:rPr>
          <w:rtl w:val="true"/>
        </w:rPr>
        <w:t>וחסר יכולת להתמודד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סניגורו של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גם ביקש לאבחן את עניינו מזה של הנאשם האחר שהיה הנהג בענין שנדון בפני כבוד השופטת שטמר וחזר וטען כי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הינו צעיר יותר</w:t>
      </w:r>
      <w:r>
        <w:rPr>
          <w:rtl w:val="true"/>
        </w:rPr>
        <w:t xml:space="preserve">, </w:t>
      </w:r>
      <w:r>
        <w:rPr>
          <w:rtl w:val="true"/>
        </w:rPr>
        <w:t>הוא לא נהג ברכב השוד וחלקו היה מרוחק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בשם 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, </w:t>
      </w:r>
      <w:r>
        <w:rPr>
          <w:rtl w:val="true"/>
        </w:rPr>
        <w:t>המתקשה בדיבור ובהבעה  עצמית ביקש הסניגור לקחת בחשבון את כל טענותיו לקולא אל מול נהסיבות המכבידות ובהתאם לגזור דינו</w:t>
      </w:r>
      <w:r>
        <w:rPr>
          <w:rtl w:val="true"/>
        </w:rPr>
        <w:t xml:space="preserve">. </w:t>
      </w: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בדברי הסיכום שלו ביקש לחזור על דברים אלה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אמר כי </w:t>
      </w:r>
      <w:r>
        <w:rPr>
          <w:rtl w:val="true"/>
        </w:rPr>
        <w:t>"</w:t>
      </w:r>
      <w:r>
        <w:rPr>
          <w:rtl w:val="true"/>
        </w:rPr>
        <w:t>אין לי מה לאמר</w:t>
      </w:r>
      <w:r>
        <w:rPr>
          <w:rtl w:val="true"/>
        </w:rPr>
        <w:t xml:space="preserve">. </w:t>
      </w:r>
      <w:r>
        <w:rPr>
          <w:rtl w:val="true"/>
        </w:rPr>
        <w:t>סליחה על מה שעשיתי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גם הוא הביע צער על מעשיו</w:t>
      </w:r>
      <w:r>
        <w:rPr>
          <w:rtl w:val="true"/>
        </w:rPr>
        <w:t xml:space="preserve">, </w:t>
      </w:r>
      <w:r>
        <w:rPr>
          <w:rtl w:val="true"/>
        </w:rPr>
        <w:t>הפנה לנסיבותיו האישיות וביקש הזדמנות אחרונה בחיים תוך הבטחה כי זו מעידתו הראשונה והאחרונה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 הצדדים הגישו פסיקה התומכת בעמדותיהם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כל הנאשמים הורשעו 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בעבירה של </w:t>
      </w:r>
      <w:r>
        <w:rPr>
          <w:rtl w:val="true"/>
        </w:rPr>
        <w:t>"</w:t>
      </w:r>
      <w:r>
        <w:rPr>
          <w:rtl w:val="true"/>
        </w:rPr>
        <w:t>שוד חמור</w:t>
      </w:r>
      <w:r>
        <w:rPr>
          <w:rtl w:val="true"/>
        </w:rPr>
        <w:t xml:space="preserve">" </w:t>
      </w:r>
      <w:r>
        <w:rPr>
          <w:rtl w:val="true"/>
        </w:rPr>
        <w:t xml:space="preserve">שהינו </w:t>
      </w:r>
      <w:r>
        <w:rPr>
          <w:rtl w:val="true"/>
        </w:rPr>
        <w:t>"</w:t>
      </w:r>
      <w:r>
        <w:rPr>
          <w:rtl w:val="true"/>
        </w:rPr>
        <w:t>שוד סתם</w:t>
      </w:r>
      <w:r>
        <w:rPr>
          <w:rtl w:val="true"/>
        </w:rPr>
        <w:t xml:space="preserve">" </w:t>
      </w:r>
      <w:r>
        <w:rPr>
          <w:rtl w:val="true"/>
        </w:rPr>
        <w:t xml:space="preserve">המתבצע </w:t>
      </w:r>
      <w:r>
        <w:rPr>
          <w:rtl w:val="true"/>
        </w:rPr>
        <w:t>"</w:t>
      </w:r>
      <w:r>
        <w:rPr>
          <w:rtl w:val="true"/>
        </w:rPr>
        <w:t>בנסיבות מחמירות</w:t>
      </w:r>
      <w:r>
        <w:rPr>
          <w:rtl w:val="true"/>
        </w:rPr>
        <w:t xml:space="preserve">"( </w:t>
      </w:r>
      <w:r>
        <w:rPr>
          <w:rtl w:val="true"/>
        </w:rPr>
        <w:t>י</w:t>
      </w:r>
      <w:r>
        <w:rPr>
          <w:rtl w:val="true"/>
        </w:rPr>
        <w:t xml:space="preserve">. </w:t>
      </w:r>
      <w:hyperlink r:id="rId32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על הדין בפלילים</w:t>
        </w:r>
      </w:hyperlink>
      <w:r>
        <w:rPr>
          <w:rtl w:val="true"/>
        </w:rPr>
        <w:t xml:space="preserve">, </w:t>
      </w:r>
      <w:hyperlink r:id="rId3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חלק שני עמוד </w:t>
      </w:r>
      <w:r>
        <w:rPr/>
        <w:t>769</w:t>
      </w:r>
      <w:r>
        <w:rPr>
          <w:rtl w:val="true"/>
        </w:rPr>
        <w:t xml:space="preserve">". </w:t>
      </w:r>
      <w:r>
        <w:rPr>
          <w:rtl w:val="true"/>
        </w:rPr>
        <w:t xml:space="preserve">לנסיבות המחמירות שבסעיף זה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חלופות</w:t>
      </w:r>
      <w:r>
        <w:rPr>
          <w:rtl w:val="true"/>
        </w:rPr>
        <w:t>-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השודד היה מזויין בנשק או במכשיר שיש בהם כדי לסכן או לפגוע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השודד היה בחבורה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בשעת השוד או בתכוף לפניו או לאחריו</w:t>
      </w:r>
      <w:r>
        <w:rPr>
          <w:rtl w:val="true"/>
        </w:rPr>
        <w:t xml:space="preserve">, </w:t>
      </w:r>
      <w:r>
        <w:rPr>
          <w:rtl w:val="true"/>
        </w:rPr>
        <w:t>הוא פצע אדם</w:t>
      </w:r>
      <w:r>
        <w:rPr>
          <w:rtl w:val="true"/>
        </w:rPr>
        <w:t xml:space="preserve">, </w:t>
      </w:r>
      <w:r>
        <w:rPr>
          <w:rtl w:val="true"/>
        </w:rPr>
        <w:t>הכהו או השתמש באלימות אחרת כלפי גופו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בהתקיים שלושת החלופות האמורות</w:t>
      </w:r>
      <w:r>
        <w:rPr>
          <w:rtl w:val="true"/>
        </w:rPr>
        <w:t xml:space="preserve">, </w:t>
      </w:r>
      <w:r>
        <w:rPr>
          <w:rtl w:val="true"/>
        </w:rPr>
        <w:t>לגבי כל אחד מהנאשמים</w:t>
      </w:r>
      <w:r>
        <w:rPr>
          <w:rtl w:val="true"/>
        </w:rPr>
        <w:t xml:space="preserve">, </w:t>
      </w:r>
      <w:r>
        <w:rPr>
          <w:rtl w:val="true"/>
        </w:rPr>
        <w:t>ממילא אין מקום לטענת הסניגורים לפיהם אין לקחת בחשבון בנסיבותיהם של הנאשמים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את העובדה שלא היו מזויינים ו</w:t>
      </w:r>
      <w:r>
        <w:rPr>
          <w:rtl w:val="true"/>
        </w:rPr>
        <w:t>/</w:t>
      </w:r>
      <w:r>
        <w:rPr>
          <w:rtl w:val="true"/>
        </w:rPr>
        <w:t>או לא ירו בשומר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ודוק </w:t>
      </w:r>
      <w:r>
        <w:rPr>
          <w:rtl w:val="true"/>
        </w:rPr>
        <w:t xml:space="preserve">: </w:t>
      </w:r>
      <w:r>
        <w:rPr>
          <w:rtl w:val="true"/>
        </w:rPr>
        <w:t xml:space="preserve">הביטוי </w:t>
      </w:r>
      <w:r>
        <w:rPr>
          <w:rtl w:val="true"/>
        </w:rPr>
        <w:t>"</w:t>
      </w:r>
      <w:r>
        <w:rPr>
          <w:rtl w:val="true"/>
        </w:rPr>
        <w:t>היה בחבורה</w:t>
      </w:r>
      <w:r>
        <w:rPr>
          <w:rtl w:val="true"/>
        </w:rPr>
        <w:t xml:space="preserve">" </w:t>
      </w:r>
      <w:r>
        <w:rPr>
          <w:rtl w:val="true"/>
        </w:rPr>
        <w:t xml:space="preserve">אינו דורש מעשים בצוותא אלא רק </w:t>
      </w:r>
      <w:r>
        <w:rPr>
          <w:rtl w:val="true"/>
        </w:rPr>
        <w:t>"</w:t>
      </w:r>
      <w:r>
        <w:rPr>
          <w:rtl w:val="true"/>
        </w:rPr>
        <w:t>חבירה</w:t>
      </w:r>
      <w:r>
        <w:rPr>
          <w:rtl w:val="true"/>
        </w:rPr>
        <w:t xml:space="preserve">" </w:t>
      </w:r>
      <w:r>
        <w:rPr>
          <w:rtl w:val="true"/>
        </w:rPr>
        <w:t xml:space="preserve">בצוותא לביצוע העבירה והוא אפילו לא דורש  נוכחות פיזית במקום ביצוע העבירה </w:t>
      </w:r>
      <w:r>
        <w:rPr>
          <w:rtl w:val="true"/>
        </w:rPr>
        <w:t>(</w:t>
      </w:r>
      <w:r>
        <w:rPr>
          <w:rtl w:val="true"/>
        </w:rPr>
        <w:t xml:space="preserve">רואה 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קדמי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772</w:t>
      </w:r>
      <w:r>
        <w:rPr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הירייה על השומר</w:t>
      </w:r>
      <w:r>
        <w:rPr>
          <w:rtl w:val="true"/>
        </w:rPr>
        <w:t xml:space="preserve">, </w:t>
      </w:r>
      <w:r>
        <w:rPr>
          <w:rtl w:val="true"/>
        </w:rPr>
        <w:t>על ידי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, </w:t>
      </w:r>
      <w:r>
        <w:rPr>
          <w:rtl w:val="true"/>
        </w:rPr>
        <w:t xml:space="preserve">הינה בנוסף ובמצטבר לחומרת עבירת השוד בו נטל חלק וטיעוני הסניגור כאילו חלקו לא היה גדול משל האחרים </w:t>
      </w:r>
      <w:r>
        <w:rPr>
          <w:rtl w:val="true"/>
        </w:rPr>
        <w:t xml:space="preserve">, </w:t>
      </w:r>
      <w:r>
        <w:rPr>
          <w:rtl w:val="true"/>
        </w:rPr>
        <w:t>כאשר בנוסף לעבירת השוד עבר עבירה כה חמורה של חבלה מחמירה בנסיבות מחמירות</w:t>
      </w:r>
      <w:r>
        <w:rPr>
          <w:rtl w:val="true"/>
        </w:rPr>
        <w:t xml:space="preserve">, </w:t>
      </w:r>
      <w:r>
        <w:rPr>
          <w:rtl w:val="true"/>
        </w:rPr>
        <w:t>מחייבת ליתן למעשיו ביטוי הולם ולהחמרת עונשו מעבר לזה שהוטל על חבריו על ידי כבוד השופטת שטמר ומעבר לזה שיוטל על הנאשמים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קוממה אותי במיוחד טענת סניגורו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, </w:t>
      </w:r>
      <w:r>
        <w:rPr>
          <w:rtl w:val="true"/>
        </w:rPr>
        <w:t>והבעתי זאת כבר במועד טיעוניו לעונש</w:t>
      </w:r>
      <w:r>
        <w:rPr>
          <w:rtl w:val="true"/>
        </w:rPr>
        <w:t xml:space="preserve">, </w:t>
      </w:r>
      <w:r>
        <w:rPr>
          <w:rtl w:val="true"/>
        </w:rPr>
        <w:t>לפיה נסיבות השוד גרמו לנאשם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לחץ ולכן ירה על השומר במהלך ההימלטות מהבנק</w:t>
      </w:r>
      <w:r>
        <w:rPr>
          <w:rtl w:val="true"/>
        </w:rPr>
        <w:t xml:space="preserve">. </w:t>
      </w:r>
      <w:r>
        <w:rPr>
          <w:rtl w:val="true"/>
        </w:rPr>
        <w:t>מוטב היה אילו טענה זו לא היתה נטענת</w:t>
      </w:r>
      <w:r>
        <w:rPr>
          <w:rtl w:val="true"/>
        </w:rPr>
        <w:t xml:space="preserve">, </w:t>
      </w:r>
      <w:r>
        <w:rPr>
          <w:rtl w:val="true"/>
        </w:rPr>
        <w:t>מה עוד שנטענה מפי סניגור הממונה מטעם הסניגוריה הציבורית</w:t>
      </w:r>
      <w:r>
        <w:rPr>
          <w:rtl w:val="true"/>
        </w:rPr>
        <w:t xml:space="preserve">. </w:t>
      </w:r>
      <w:r>
        <w:rPr>
          <w:rtl w:val="true"/>
        </w:rPr>
        <w:t xml:space="preserve">הטענה יוצרת בפני הנאשם את הרושם שהוא דווקא </w:t>
      </w:r>
      <w:r>
        <w:rPr>
          <w:rtl w:val="true"/>
        </w:rPr>
        <w:t>"</w:t>
      </w:r>
      <w:r>
        <w:rPr>
          <w:rtl w:val="true"/>
        </w:rPr>
        <w:t>הקורבן</w:t>
      </w:r>
      <w:r>
        <w:rPr>
          <w:rtl w:val="true"/>
        </w:rPr>
        <w:t xml:space="preserve">" </w:t>
      </w:r>
      <w:r>
        <w:rPr>
          <w:rtl w:val="true"/>
        </w:rPr>
        <w:t xml:space="preserve">הראוי לרחמי בית המשפט </w:t>
      </w:r>
      <w:r>
        <w:rPr>
          <w:rtl w:val="true"/>
        </w:rPr>
        <w:t xml:space="preserve">, </w:t>
      </w:r>
      <w:r>
        <w:rPr>
          <w:rtl w:val="true"/>
        </w:rPr>
        <w:t>שלחץ השוד  גרם לו ללחוץ על ההדק</w:t>
      </w:r>
      <w:r>
        <w:rPr>
          <w:rtl w:val="true"/>
        </w:rPr>
        <w:t xml:space="preserve">, </w:t>
      </w:r>
      <w:r>
        <w:rPr>
          <w:rtl w:val="true"/>
        </w:rPr>
        <w:t>וברי כי לא יהיה מסוגל להבין מדוע הוא נענש על מעשה שנעשה בלחץ שכזה</w:t>
      </w:r>
      <w:r>
        <w:rPr>
          <w:rtl w:val="true"/>
        </w:rPr>
        <w:t xml:space="preserve">. </w:t>
      </w:r>
      <w:r>
        <w:rPr>
          <w:rtl w:val="true"/>
        </w:rPr>
        <w:t>מכאן ועד הפניית אצבע מאשימה לתביעה ולבית המשפט</w:t>
      </w:r>
      <w:r>
        <w:rPr>
          <w:rtl w:val="true"/>
        </w:rPr>
        <w:t xml:space="preserve">, </w:t>
      </w:r>
      <w:r>
        <w:rPr>
          <w:rtl w:val="true"/>
        </w:rPr>
        <w:t>שאינם מתחשבים בו</w:t>
      </w:r>
      <w:r>
        <w:rPr>
          <w:rtl w:val="true"/>
        </w:rPr>
        <w:t xml:space="preserve">,  </w:t>
      </w:r>
      <w:r>
        <w:rPr>
          <w:rtl w:val="true"/>
        </w:rPr>
        <w:t>קצרה הדרך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באשר לטענת הסניגורים כי הנאשמים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היו על סף הקטינות ולפיכך יש לנהוג בהם דין קטינים </w:t>
      </w:r>
      <w:r>
        <w:rPr>
          <w:rtl w:val="true"/>
        </w:rPr>
        <w:t>–</w:t>
      </w:r>
      <w:r>
        <w:rPr>
          <w:rtl w:val="true"/>
        </w:rPr>
        <w:t xml:space="preserve"> גם טענה זו דינה להדחות </w:t>
      </w:r>
      <w:r>
        <w:rPr>
          <w:rtl w:val="true"/>
        </w:rPr>
        <w:t xml:space="preserve">. </w:t>
      </w:r>
      <w:r>
        <w:rPr>
          <w:rtl w:val="true"/>
        </w:rPr>
        <w:t xml:space="preserve">המחוקק קבע גיל היותו של אדם </w:t>
      </w:r>
      <w:r>
        <w:rPr>
          <w:rtl w:val="true"/>
        </w:rPr>
        <w:t>"</w:t>
      </w:r>
      <w:r>
        <w:rPr>
          <w:rtl w:val="true"/>
        </w:rPr>
        <w:t>בגיר</w:t>
      </w:r>
      <w:r>
        <w:rPr>
          <w:rtl w:val="true"/>
        </w:rPr>
        <w:t xml:space="preserve">" </w:t>
      </w:r>
      <w:r>
        <w:rPr>
          <w:rtl w:val="true"/>
        </w:rPr>
        <w:t xml:space="preserve">לעומת </w:t>
      </w:r>
      <w:r>
        <w:rPr>
          <w:rtl w:val="true"/>
        </w:rPr>
        <w:t>"</w:t>
      </w:r>
      <w:r>
        <w:rPr>
          <w:rtl w:val="true"/>
        </w:rPr>
        <w:t>קטין</w:t>
      </w:r>
      <w:r>
        <w:rPr>
          <w:rtl w:val="true"/>
        </w:rPr>
        <w:t xml:space="preserve">" </w:t>
      </w:r>
      <w:r>
        <w:rPr>
          <w:rtl w:val="true"/>
        </w:rPr>
        <w:t>על כל המשמעויות הנובעות לדבר</w:t>
      </w:r>
      <w:r>
        <w:rPr>
          <w:rtl w:val="true"/>
        </w:rPr>
        <w:t xml:space="preserve">, </w:t>
      </w:r>
      <w:r>
        <w:rPr>
          <w:rtl w:val="true"/>
        </w:rPr>
        <w:t xml:space="preserve">הן לזכויות והן לחובות וקרבתו של אדם לגיל הקטינות אינו יכול להקנות לו </w:t>
      </w:r>
      <w:r>
        <w:rPr>
          <w:rtl w:val="true"/>
        </w:rPr>
        <w:t>"</w:t>
      </w:r>
      <w:r>
        <w:rPr>
          <w:rtl w:val="true"/>
        </w:rPr>
        <w:t xml:space="preserve">יתר </w:t>
      </w:r>
      <w:r>
        <w:rPr>
          <w:rtl w:val="true"/>
        </w:rPr>
        <w:t xml:space="preserve">" </w:t>
      </w:r>
      <w:r>
        <w:rPr>
          <w:rtl w:val="true"/>
        </w:rPr>
        <w:t>זכויות והקלות</w:t>
      </w:r>
      <w:r>
        <w:rPr>
          <w:rtl w:val="true"/>
        </w:rPr>
        <w:t xml:space="preserve">, </w:t>
      </w:r>
      <w:r>
        <w:rPr>
          <w:rtl w:val="true"/>
        </w:rPr>
        <w:t>על פני אחר שגילו מבוגר יותר</w:t>
      </w:r>
      <w:r>
        <w:rPr>
          <w:rtl w:val="true"/>
        </w:rPr>
        <w:t xml:space="preserve">. </w:t>
      </w:r>
      <w:r>
        <w:rPr>
          <w:rtl w:val="true"/>
        </w:rPr>
        <w:t>כמובן שאין באמור כדי לפגוע בעקרון יסוד בענישה הפלילית</w:t>
      </w:r>
      <w:r>
        <w:rPr>
          <w:rtl w:val="true"/>
        </w:rPr>
        <w:t xml:space="preserve">, </w:t>
      </w:r>
      <w:r>
        <w:rPr>
          <w:rtl w:val="true"/>
        </w:rPr>
        <w:t>לפיו הענישה הינה אינדיבידואלית ובבוא בית המשפט לשקול עונשו של נאשם עליו לקחת בחשבון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את נסיבותיו האישיות </w:t>
      </w:r>
      <w:r>
        <w:rPr>
          <w:rtl w:val="true"/>
        </w:rPr>
        <w:t>–</w:t>
      </w:r>
      <w:r>
        <w:rPr>
          <w:rtl w:val="true"/>
        </w:rPr>
        <w:t xml:space="preserve"> כאשר גילו של נאשם מהוה אחת הנסיבות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פועל יוצא מהאמור</w:t>
      </w:r>
      <w:r>
        <w:rPr>
          <w:rtl w:val="true"/>
        </w:rPr>
        <w:t xml:space="preserve">, </w:t>
      </w:r>
      <w:r>
        <w:rPr>
          <w:rtl w:val="true"/>
        </w:rPr>
        <w:t>ולאחר ששקלתי את נסיבות ביצוע העבירות על ידי כל אחד מהנאשמים ונסיבותיהם האישיות ואת טענות הצדדים כפי שבאו לידי ביטוי לעיל</w:t>
      </w:r>
      <w:r>
        <w:rPr>
          <w:rtl w:val="true"/>
        </w:rPr>
        <w:t xml:space="preserve">, </w:t>
      </w:r>
      <w:r>
        <w:rPr>
          <w:rtl w:val="true"/>
        </w:rPr>
        <w:t>אני גוזרת על הנאשמים את העונש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על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אני גוזרת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 xml:space="preserve">, </w:t>
      </w:r>
      <w:r>
        <w:rPr>
          <w:rtl w:val="true"/>
        </w:rPr>
        <w:t xml:space="preserve">שמניינן ביום מעצרו </w:t>
      </w:r>
      <w:r>
        <w:rPr>
          <w:rtl w:val="true"/>
        </w:rPr>
        <w:t xml:space="preserve">( </w:t>
      </w:r>
      <w:r>
        <w:rPr/>
        <w:t>13.5.09</w:t>
      </w:r>
      <w:r>
        <w:rPr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על 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אני גוזרת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שמניינן ביום מעצרו </w:t>
      </w:r>
      <w:r>
        <w:rPr>
          <w:rtl w:val="true"/>
        </w:rPr>
        <w:t xml:space="preserve">( </w:t>
      </w:r>
      <w:r>
        <w:rPr/>
        <w:t>13.5.09</w:t>
      </w:r>
      <w:r>
        <w:rPr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על נאשם 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אני גוזרת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שמניינן ביום מעצרו </w:t>
      </w:r>
      <w:r>
        <w:rPr>
          <w:rtl w:val="true"/>
        </w:rPr>
        <w:t>(</w:t>
      </w:r>
      <w:r>
        <w:rPr/>
        <w:t>13.5.09</w:t>
      </w:r>
      <w:r>
        <w:rPr>
          <w:rtl w:val="true"/>
        </w:rPr>
        <w:t>).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כן אני גוזרת על כל אחד מהנאשמים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כי בתקופה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ממועד שחרור כל אחד מהם מן המאסר</w:t>
      </w:r>
      <w:r>
        <w:rPr>
          <w:rtl w:val="true"/>
        </w:rPr>
        <w:t xml:space="preserve">, </w:t>
      </w:r>
      <w:r>
        <w:rPr>
          <w:rtl w:val="true"/>
        </w:rPr>
        <w:t>לא יבצע עבירה מהעבירות בהן הורשע ויורשע עליה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לאור הנסיבות האישיות של הנאשמים </w:t>
      </w:r>
      <w:r>
        <w:rPr>
          <w:rtl w:val="true"/>
        </w:rPr>
        <w:t xml:space="preserve">, </w:t>
      </w:r>
      <w:r>
        <w:rPr>
          <w:rtl w:val="true"/>
        </w:rPr>
        <w:t xml:space="preserve">איני גוזרת עליהם פיצוי כספי למתלונן </w:t>
      </w:r>
      <w:r>
        <w:rPr>
          <w:rtl w:val="true"/>
        </w:rPr>
        <w:t xml:space="preserve">, </w:t>
      </w:r>
      <w:r>
        <w:rPr>
          <w:rtl w:val="true"/>
        </w:rPr>
        <w:t xml:space="preserve">כאשר אין באמור הבעת דעה באשר לזכותו של המתלונן לפיצוי 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והודעה זכות ערער לבית המשפט העליון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 מהיום</w:t>
      </w:r>
      <w:r>
        <w:rPr>
          <w:b/>
          <w:bCs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#8#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sz w:val="6"/>
          <w:szCs w:val="6"/>
        </w:rPr>
      </w:pPr>
      <w:r>
        <w:rPr>
          <w:rFonts w:cs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 והודע היום 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22/03/2010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ברכה בר זיו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ברכה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זיו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 w:val="18"/>
          <w:szCs w:val="18"/>
          <w:rtl w:val="true"/>
        </w:rPr>
        <w:t>עדי שיטרית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עדי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שטרית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/Users/liorb/Downloads/study2025-p2/ME-09-06-7801-100.doc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7801-06-09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עאמר אבו שאדי חסן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12-h1">
    <w:name w:val="12-h1"/>
    <w:qFormat/>
    <w:rPr>
      <w:rFonts w:ascii="Times New Roman" w:hAnsi="Times New Roman" w:cs="Times New Roman"/>
      <w:b/>
      <w:bCs/>
      <w:sz w:val="24"/>
      <w:szCs w:val="24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12-p">
    <w:name w:val="12-p"/>
    <w:basedOn w:val="Normal"/>
    <w:qFormat/>
    <w:pPr>
      <w:bidi w:val="0"/>
    </w:pPr>
    <w:rPr>
      <w:rFonts w:ascii="Times New Roman" w:hAnsi="Times New Roman" w:eastAsia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003" TargetMode="External"/><Relationship Id="rId3" Type="http://schemas.openxmlformats.org/officeDocument/2006/relationships/hyperlink" Target="http://www.nevo.co.il/safrut/bookgroup/400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379" TargetMode="External"/><Relationship Id="rId22" Type="http://schemas.openxmlformats.org/officeDocument/2006/relationships/hyperlink" Target="http://www.nevo.co.il/law/70301/382.a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244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244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case/5792526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2.b" TargetMode="External"/><Relationship Id="rId32" Type="http://schemas.openxmlformats.org/officeDocument/2006/relationships/hyperlink" Target="http://www.nevo.co.il/safrut/bookgroup/4003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2022-09-15T09:44:00Z</dcterms:created>
  <dc:creator> </dc:creator>
  <dc:description/>
  <cp:keywords/>
  <dc:language>en-IL</dc:language>
  <cp:lastModifiedBy>h1</cp:lastModifiedBy>
  <dcterms:modified xsi:type="dcterms:W3CDTF">2022-09-15T09:44:00Z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עאמר אבו שאדי חסן ;רוחי(פידא) חסן ;הייתם חסן</vt:lpwstr>
  </property>
  <property fmtid="{D5CDD505-2E9C-101B-9397-08002B2CF9AE}" pid="4" name="BOOKGROUPTMP1">
    <vt:lpwstr>4003:2</vt:lpwstr>
  </property>
  <property fmtid="{D5CDD505-2E9C-101B-9397-08002B2CF9AE}" pid="5" name="CASESLISTTMP1">
    <vt:lpwstr>5792526</vt:lpwstr>
  </property>
  <property fmtid="{D5CDD505-2E9C-101B-9397-08002B2CF9AE}" pid="6" name="CITY">
    <vt:lpwstr>חי'</vt:lpwstr>
  </property>
  <property fmtid="{D5CDD505-2E9C-101B-9397-08002B2CF9AE}" pid="7" name="DATE">
    <vt:lpwstr>20100322</vt:lpwstr>
  </property>
  <property fmtid="{D5CDD505-2E9C-101B-9397-08002B2CF9AE}" pid="8" name="JUDGE">
    <vt:lpwstr>ברכה בר זיו</vt:lpwstr>
  </property>
  <property fmtid="{D5CDD505-2E9C-101B-9397-08002B2CF9AE}" pid="9" name="LAWLISTTMP1">
    <vt:lpwstr>70301/499.a.1;402.b:2;029:5;144.a;144.b;379;382.a;244:2;144</vt:lpwstr>
  </property>
  <property fmtid="{D5CDD505-2E9C-101B-9397-08002B2CF9AE}" pid="10" name="LAWYER">
    <vt:lpwstr>אדלר;רייפר;פלג;ניב ישי</vt:lpwstr>
  </property>
  <property fmtid="{D5CDD505-2E9C-101B-9397-08002B2CF9AE}" pid="11" name="NEWPARTA">
    <vt:lpwstr>7801</vt:lpwstr>
  </property>
  <property fmtid="{D5CDD505-2E9C-101B-9397-08002B2CF9AE}" pid="12" name="NEWPARTB">
    <vt:lpwstr>06</vt:lpwstr>
  </property>
  <property fmtid="{D5CDD505-2E9C-101B-9397-08002B2CF9AE}" pid="13" name="NEWPARTC">
    <vt:lpwstr>09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RemarkFileName">
    <vt:lpwstr>mechozi me 09 06 7801 100 htm</vt:lpwstr>
  </property>
  <property fmtid="{D5CDD505-2E9C-101B-9397-08002B2CF9AE}" pid="17" name="TYPE">
    <vt:lpwstr>2</vt:lpwstr>
  </property>
  <property fmtid="{D5CDD505-2E9C-101B-9397-08002B2CF9AE}" pid="18" name="TYPE_ABS_DATE">
    <vt:lpwstr>390020100322</vt:lpwstr>
  </property>
  <property fmtid="{D5CDD505-2E9C-101B-9397-08002B2CF9AE}" pid="19" name="TYPE_N_DATE">
    <vt:lpwstr>39020100322</vt:lpwstr>
  </property>
  <property fmtid="{D5CDD505-2E9C-101B-9397-08002B2CF9AE}" pid="20" name="WORDNUMPAGES">
    <vt:lpwstr>7</vt:lpwstr>
  </property>
</Properties>
</file>