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84"/>
        <w:gridCol w:w="3654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7811-10-23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אמארה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7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בפני כבוד השופט איל באומגרט</w:t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both"/>
              <w:rPr>
                <w:rFonts w:ascii="David" w:hAnsi="David" w:cs="David"/>
                <w:b/>
                <w:bCs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</w:t>
            </w:r>
            <w:r>
              <w:rPr>
                <w:rFonts w:cs="David" w:ascii="David" w:hAnsi="David"/>
                <w:b/>
                <w:bCs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נגד </w:t>
            </w:r>
            <w:r>
              <w:rPr>
                <w:rFonts w:cs="David" w:ascii="David" w:hAnsi="David"/>
                <w:b/>
                <w:bCs/>
                <w:rtl w:val="true"/>
              </w:rPr>
              <w:t>-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מועאד אמארה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עצור</w:t>
            </w:r>
            <w:r>
              <w:rPr>
                <w:rFonts w:cs="David" w:ascii="David" w:hAnsi="David"/>
                <w:b/>
                <w:bCs/>
                <w:rtl w:val="true"/>
              </w:rPr>
              <w:t>/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אסיר בפיקוח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</w:rPr>
              <w:t>xxxxxxxxx</w:t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נוכחים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rFonts w:ascii="David" w:hAnsi="David" w:cs="David"/>
          <w:b/>
          <w:bCs/>
        </w:rPr>
      </w:pPr>
      <w:bookmarkStart w:id="2" w:name="FirstLawyer"/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</w:t>
      </w:r>
      <w:bookmarkEnd w:id="2"/>
      <w:r>
        <w:rPr>
          <w:rFonts w:ascii="David" w:hAnsi="David"/>
          <w:b/>
          <w:b/>
          <w:bCs/>
          <w:rtl w:val="true"/>
        </w:rPr>
        <w:t xml:space="preserve"> המאשימה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</w:t>
      </w:r>
      <w:r>
        <w:rPr>
          <w:rFonts w:ascii="David" w:hAnsi="David"/>
          <w:b/>
          <w:b/>
          <w:bCs/>
          <w:rtl w:val="true"/>
        </w:rPr>
        <w:t xml:space="preserve"> אמיר אלרון</w:t>
      </w:r>
    </w:p>
    <w:p>
      <w:pPr>
        <w:pStyle w:val="Normal"/>
        <w:suppressLineNumbers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עאדל בויראת</w:t>
      </w:r>
    </w:p>
    <w:p>
      <w:pPr>
        <w:pStyle w:val="Normal"/>
        <w:suppressLineNumbers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בעצמו בליווי מפקחת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8" w:name="ABSTRACT_START"/>
      <w:bookmarkStart w:id="9" w:name="ABSTRACT_START"/>
      <w:bookmarkEnd w:id="9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יליד שנת </w:t>
      </w:r>
      <w:r>
        <w:rPr>
          <w:rFonts w:cs="David" w:ascii="David" w:hAnsi="David"/>
        </w:rPr>
        <w:t>1986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שנמסרה במסגרת הסדר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בעבירה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 ונשיאה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עבירה לפי </w:t>
      </w:r>
      <w:hyperlink r:id="rId7">
        <w:r>
          <w:rPr>
            <w:rStyle w:val="Hyperlink"/>
            <w:rFonts w:ascii="David" w:hAnsi="David"/>
            <w:color w:val="0000FF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8"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הסדר הטיעון לא כלל הסכמה לעניין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עובדות כתב האישום המתוקן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29.5.23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20:30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 צוות משטרתי למפעל בלוקים בכפר זלפה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לבצע חיפוש אחר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החיפוש בוצע במפעל בלוקים והשוטרים שהגיעו לשם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הבחינו בהתקהלות גדולה של אנשים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אחד השוטרים הבחין בנאשם שקם מהכיסא עליו הוא ישב והולך במהירות לחלקו האחורי של מפעל הבלוקים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הנאשם מסתכל לאחור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תוך כדי כך הושיט הנאשם ידו לכיוון הבטן התחתונה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והוציא משם אקדח מסוג יריחו מס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סידורי </w:t>
      </w:r>
      <w:r>
        <w:rPr>
          <w:rFonts w:cs="David" w:ascii="David" w:hAnsi="David"/>
        </w:rPr>
        <w:t>69098</w:t>
      </w:r>
      <w:r>
        <w:rPr>
          <w:rFonts w:cs="David" w:ascii="David" w:hAnsi="David"/>
        </w:rPr>
        <w:t>C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הנשק היה טעון במחסנית ובה שמונה כדורים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התחמושת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הנאשם החזיק בנשק ובתחמושת בלא רשות על פי דין והשליך אותם לעבר ערימה של צינורות פלסטיק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השוטר הבחין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צעק לעבר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משטרה עצור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ואחז בנאשם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החל להשתולל וניסה להשתחרר מאחיזת השוטר אשר הצליח לעצור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חיפוש שנערך על גוף הנאשם גילה בכיסי מכנסיו מחסנית אחת ובה </w:t>
      </w: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כפפות ומפתחות לרכב ולטרקטורון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הוגשו על ידי הצדדים ראיות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מוסכם על הצדדים שהנאשם נעדר עבר 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לבקשת הנאשם ובהסכמת המאשימה הוזמן תסקיר משירות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כעולה מתסקיר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הוא כבן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לשלושה ילדים 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עובר למעצר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הנאשם כנהג אוטובוס והוא מתגורר עם משפחתו בכפר זלפה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עולה מתסקיר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הכיר במידה מסוימת בכך שהתנהלותו בעייתית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שנטה לצמצם את מעורבותו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 בבד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הגיע למסקנה שהנאשם בחן את הכשלים בהתנהלותו והשתלב בטיפול תואם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בסוגיה זו מציין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השתתף בקבוצת עצורי בית המצויים באזוק בפיקוח אלקטרוני ומסר שהטיפול הקבוצתי סייע לו לרכוש דרכי התמודדות במצבי משבר ומתח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בכל הנוגע להערכת הסיכון להישנות פעילות 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מציין שירות המבחן שהנאשם הוא בעל כוחות פנימיים ויכולות גבוהות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מצמצם את התייחסותו לביצוע העבירה בה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מיתמם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שירות המבחן למסקנה שרמת הסיכון להישנות ביצוע עבירות דומות היא נמוכה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חומרת העבירה נמנע שירות המבחן מהמלצה שיקומית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והמליץ על ענישה מוחשית ומציבת גבול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בד בבד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 מהתסקיר שהנאשם גילה דפוסי התנהגות מכשילים ועיוותי חשיבה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גרסת הנאשם לשירות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באשר לאירועים מושא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עולה בקנה אחד עם עובדות כתב האישום המתוקן בו הודה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למעשה בדבריו לשירות המבחן מקל הנאשם עם עצמו וממזער  מאחריותו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המאשימה לעניין העונש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עמדה על חומרת העבירה בה הורשע הנאשם ועל מגמת ההחמרה בענישה המובלת על ידי בית המשפט העליון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הדגישה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הנזק העצום לגוף ולרכוש הנובע מעבירות נשק ואת הפגיעה בערך החברתי המוגן שנפגע עקב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פגיעה בשלום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בטחונו והגנה על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הוסיפה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שעבירות הנשק הפכו 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נדרשת ענישה הולמת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בכל הנוגע לנסיבותיו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סבורה המאשימה שקיימות נסיבות מחמירות ובהן תכנון שקדם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בעודו מחוץ לביתו הוא החזיק אקדח טעון 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מדגישה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הוא הדמות הדומיננטית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גם הדגישה המאשימה שיכול היה להיגרם נזק גדול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במפעל הבלוקים בו נתפס הנאשם הייתה התקהלות רבתית של אנשים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לתמיכה בטיעוניה הגישה המאשימה אסופה של פסיקה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בכל הנוגע לנסיבות שאינן קשורות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מאשרת שההודאה בעובדות כתב האישום המתוקן חסכה זמן שיפוטי ומזמנה שלה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סבורה המאשימה שמתחם העונש ההולם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 של מאסר מותנה וקנס 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 עניינו של הנאשם סבורה המאשימה שיש להעמיד על עונש מאסר ברף בינוני נמוך בתוך המתחם המוצע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אין לנכות מתקופת המאסר שתיפסק את התקופה בה שהה הנאשם במעצר בדרך של אזוק אלקטרוני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הנאשם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את כל שניתן לטעון עבור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ביקש למקד את הענישה הראויה בענייננו לנסיבותיו הפרטניות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הסנגור לגילו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לעובדה שהוא קיים אורח חיים נורמטיבי עד לביצוע העבירה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לכך שהוא מפרנס יחיד לתא המשפחתי ועבד באופן מסודר עד למעצר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בכל הנוגע לאסופת הפסיקה אליה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 הסנגור שאין להקיש ממנה לענייננו שכן זו עוסקת בעבירות חמורות יותר מזו מושא גזר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הסנגור לתסקיר שירות המבחן ממנו עולה שהנאשם הכיר בהתנהלותו הבעייתית ובחן את הכשלים בהתנהגותו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קביעה של הערכת מסוכנות נמוכה היא נדירה במקרים כגון אלו ועל כן אין להחמיר עם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זאת גם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הפנה לכך שנחסך זמן שיפוטי יקר ולעובדה שלא היה צורך לזמן עדים שרובם הגדול הם שוטרים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הפנה לאסופת פסיקה אשר תומכת בגישתו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מתחם הענישה המבוקש על ידי המאשימה אינו תואם את 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ולהבנתו עונש המאסר הראוי לנאשם הוא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דברי הנאשם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למד דברים רבים והוא מתנצל על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ביקש הנאשם להתחשב בו נוכח העובדה שהוא אב לשלושה ילדים קטינים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דרכי קביעת מתחם העונש ההולם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10">
        <w:r>
          <w:rPr>
            <w:rStyle w:val="Hyperlink"/>
            <w:rFonts w:ascii="David" w:hAnsi="David"/>
            <w:color w:val="0000FF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 xml:space="preserve">א 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- </w:t>
        </w:r>
        <w:r>
          <w:rPr>
            <w:rStyle w:val="Hyperlink"/>
            <w:rFonts w:ascii="David" w:hAnsi="David"/>
            <w:color w:val="0000FF"/>
            <w:rtl w:val="true"/>
          </w:rPr>
          <w:t>טו</w:t>
        </w:r>
      </w:hyperlink>
      <w:r>
        <w:rPr>
          <w:rFonts w:ascii="David" w:hAnsi="David"/>
          <w:rtl w:val="true"/>
        </w:rPr>
        <w:t xml:space="preserve">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קובעים שהעיקרון המנחה בגזירת הדין הוא קיום יחס הולם בין חומרת מעשה העבירה בנסיבותיה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אשמו של הנאשם וסוג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על בית המשפט לקבוע מתחם ענישה הולם למעשה העבירה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בית המשפט עושה בהתאם לעיקרון המנחה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שבית המשפט קובע את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נדרש בית המשפט לקבוע את העונש המתאים לנאשם בתוך גבולות המתחם שנקבע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עושה זאת בהתחשב בנסיבות שאינן קשורות בביצוע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בוחן בית המשפט את הערכים החברתיים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הרתעת הרבים והפרט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הערך החברתי שנפגע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דומה שאין צורך להרחיב בפרק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מוסכם על הכל שנפגעו הערך החברתי של חיי אדם ושלמות הגוף ואף נפגעה תחושת הציבור לביטחון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ראו את עמדת המחוקק הרואה בעבירות נשק חומרה יתרה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ראו לדוגמא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חווא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20.12.23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עניין חווא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והאסמכתאות שם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הנשק באשר הן הפכו למכת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חומרתן היתרה והשפעתן על תחושת הביטחון של כלל אזרחי המדינה מחייבת הטלת ענישה משמעותית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גם על נאשם נעדר עבר פלילי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שאינו מענייננו במקרה דנן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מדיניות ההחמרה ביחס לכלל עבירות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ניכרת בפסיקתו של בית משפט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באה לידי ביטוי סטטוטורי בסעיף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1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אשר חוקק במסגרת תיקון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והחזיק הנאשם ובכדורים באקדח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במחסנית רבים בנפרד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נסיבות ביצוע העבירה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בכתב האישום כל טענה בדבר מטרה נוספת לנשיאת הנשק והתחמושת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יש לזכור שהנאשם נשא והחזיק באקדח טעון ותחמושת בתחומי מפעל בלוקים הומה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 הוא השליך על מנת להתחמק מהשוטר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גם יש לזכור שהנאשם השתולל וביקש להשתחרר מהשוטר אשר עצר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נזכיר כי ניתן היה לעשות שימוש מידי באקדח בהיותו טעון במחסנית ובה כדורים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מדיניות הענישה וההלכה הפסוקה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בשורה של פסקי דין עמד בית המשפט העליון על החומרה הטמונה בעבירות נשק והסיכון הממשי לשלום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בטחונו והחשש להסכמה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בית המשפט העליון שדינם של מבצעי עבירות בנשק הוא מאסר ממשי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במטרה להגן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להרתיע מפני החזקת כלי נשק למיניהם ולהרחיק את מחזיקי הנשק מהחברה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ראו לדוגמא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4409/19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סובח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5.11.2019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סובח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בעניין סובח נקבע שמקום בו מדיניות הענישה הנוהגת אינה מספקת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נדרש בית המשפט להורות על החמרת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במטרה להגן על ערכי החברה ולבלום את נפיצות העבירות שהופכות למכת 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על פי עניין סובח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נמנות על המקרים החריגים בהם על בית המשפט להחמיר בענישה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הדגיש בית המשפט בעניין סובח ששימוש בכלי נשק הפך לרעה חולה והוא גובה מדי יום ביומו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ולעיתים אף את חייהם של חפים מפשע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בכל הנוגע לגזרי דין במקרים כגון זה מושא ענייננו ראו בין היתר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7971/23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אגברייה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26.5.2024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אגברייה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בעניין אגברייה עמד בית המשפט העליון על כך שעבירות הנשק מהוות בבועה של תמונת האלימות והפשיעה בנשק הגואה בחברה הישראלית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שכמות הקורבנות מעבירות נשק גדלה מדי 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עניין אגברייה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 זה הגיע לכדי מצב חירום לאומי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 בית המשפט את מגמת ההקשחה של מדיניות הענישה בעבירות נשק תוך מתן משקל מרכזי להרתעת הכלל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 הדגיש בית המשפט העליון בעניין אגברייה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שגם אם עבירת הנשק אינה כוללת ירי בנשק היא בגדר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הסנונית הראשונה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בואכה מעשים חמורים יותר – חבלה חמורה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שוד מזוין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רצח וכיוצא באלה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כמורה 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בית המשפט בעניין אגברייה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מתחם הענישה הראוי לנאשם בגיר הנושא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גם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הדגיש כי נסיבות מיוחדות לחומרא או לקולא יש בהם כדי לסטות 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שמאסר בפועל הנע בתחום של שלוש שנות מאסר הוא הולם מקום בו מדובר בעבירה חד פעמית 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כמו כן ראו בענייננו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פלוני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בעניין פלוני הורשע הנאשם בעבירה של נשיאת נשק שלא כדין והנשק בו היה מדובר הוא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באותו מקרה העמיד בית המשפט העליון את תקופת המאסר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הבהרה שערכאת הערעור אינה ממצה את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כן ראו לעניין זה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5856/22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סויטאת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21.3.2023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ממנו עולים דברים כמו מעניין פלוני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לאסופת הפסיקה אליה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 שזו נפסקה עובר לעניין אגברייה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הדגיש באופן נחרץ וברור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העונש ההולם במקרה של עבירת נשק חד פעמית הוא כשלוש שנות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נכון הדבר שלעיתים יש מקום להבחין בין סוגי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לדוגמה נודעה חומרה יתרה בעבירה של החזקת נשק ארוך והתקפי לעומת החזקת נשק מסוג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 הוא נשק וההבחנה בין סוגי הנשק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המשבר הנוכחי שמקורו באחזקת נשק שלא כדין והעבירות שנובעות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יכולה להוות שיקול להקל או להחמיר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מתחם הענישה שהתווה 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לזכור כי המחוקק קבע </w:t>
      </w:r>
      <w:hyperlink r:id="rId18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שהעונש המרבי הוא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לזכור את קביעת בית המשפט העליון שעבירות נשק הפכו למכת מדינה ולמעשה נוצר משבר לאומי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בנשק הפכו לנפוצות והמרחק בין נשיאה והחזקה של נשק עד השימוש בו הוא מרחק הדק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ראוי להזכיר שהנשק שנישא היה מוכן לפעולה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ותכלית החזקתו ונשיאתו לא בוררה עד תום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נסיבות שאינן קשורות בביצוע העבירה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אב לילדים קטנים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מפרנס יחיד ושמר על מקום תעסוקה קבוע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 את הודאת הנאשם עובר לשמיעת 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חסך הנאשם מזמנו של בית המשפט ומזמנה של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די להפנות לכתב האישום המונה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 שהנאשם שהה במעצר באיזוק אלקטרוני כשבעה 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לעניין זה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7768/15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20.4.2016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כפי שנקבע 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7768/15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 מעצר בפיקוח אלקטרוני מהווה שיקול במסגרת שיקולי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 – קביעה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rtl w:val="true"/>
        </w:rPr>
        <w:t xml:space="preserve">בשים לב לאמור מתחם העונש ההולם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לקחת בחשבון בעת גזירת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ההודאה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תקופת המעצר באזוק אלקטרוני והיעדר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לבטח תיפגע אם יוטל עליו עונש מאסר בפועל לתקופה ממושכת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אלה מטים את הכף לגזירת הדין ברף הנמוך של מתחם העונש שנקבע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התוצאה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מוטלים על הנאשם רכיבי הענישה שלהלן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שלושים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מתקופה זו ינוכו ימי המעצר הממשי מאחורי הסורג ובריח בהם שהה הנאשם עד שמעצרו הפך למעצר באיזוק אלקטרוני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עשרה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 מאסר על תנאי למשך שלוש שנים מיום השחרור על כל עבירה בנשק 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חמישה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 מאסר על תנאי למשך שלוש שנים מיום השחרור על כל עבירת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יתייצב הנאשם 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25.6.24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שעה </w:t>
      </w:r>
      <w:r>
        <w:rPr>
          <w:rFonts w:cs="David" w:ascii="David" w:hAnsi="David"/>
        </w:rPr>
        <w:t>11:00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 מעצר קישון לתחילת ריצוי 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מצויד בדרכון ותעודת זהות ובחזקתו גזר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עד למועד ההתייצבות ימשיכו לחול התנאים שבהם נתון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מעצרו בפיקוח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להבטחת התייצבותו לנשיאה בעונש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המזכירות תשלח עותק לשב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ס וליחידה לפיקוח אלקטרוני בשב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ס</w:t>
      </w:r>
      <w:r>
        <w:rPr>
          <w:rFonts w:cs="David" w:ascii="David" w:hAnsi="David"/>
          <w:b/>
          <w:bCs/>
          <w:u w:val="single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זכות ערעור כחוק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2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יוני </w:t>
      </w:r>
      <w:r>
        <w:rPr>
          <w:rFonts w:cs="David" w:ascii="David" w:hAnsi="David"/>
        </w:rPr>
        <w:t>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12"/>
      <w:r>
        <w:rPr>
          <w:rFonts w:cs="David" w:ascii="David" w:hAnsi="David"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 באומגרט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7811-10-23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מועאד אמארה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a." TargetMode="External"/><Relationship Id="rId4" Type="http://schemas.openxmlformats.org/officeDocument/2006/relationships/hyperlink" Target="http://www.nevo.co.il/law/70301/40.if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.a.;40.if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9867910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5824865" TargetMode="External"/><Relationship Id="rId15" Type="http://schemas.openxmlformats.org/officeDocument/2006/relationships/hyperlink" Target="http://www.nevo.co.il/case/30168342" TargetMode="External"/><Relationship Id="rId16" Type="http://schemas.openxmlformats.org/officeDocument/2006/relationships/hyperlink" Target="http://www.nevo.co.il/case/28883087" TargetMode="External"/><Relationship Id="rId17" Type="http://schemas.openxmlformats.org/officeDocument/2006/relationships/hyperlink" Target="http://www.nevo.co.il/case/28916087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0832660" TargetMode="External"/><Relationship Id="rId21" Type="http://schemas.openxmlformats.org/officeDocument/2006/relationships/hyperlink" Target="http://www.nevo.co.il/case/20832660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2024-06-26T12:59:00Z</dcterms:created>
  <dc:creator> </dc:creator>
  <dc:description/>
  <cp:keywords/>
  <dc:language>en-IL</dc:language>
  <cp:lastModifiedBy>h1</cp:lastModifiedBy>
  <dcterms:modified xsi:type="dcterms:W3CDTF">2024-06-26T12:59:00Z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מדינת-ישראל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מועאד אמארה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29867910;25824865;30168342;28883087;28916087;20832660:2</vt:lpwstr>
  </property>
  <property fmtid="{D5CDD505-2E9C-101B-9397-08002B2CF9AE}" pid="9" name="CITY">
    <vt:lpwstr>חי'</vt:lpwstr>
  </property>
  <property fmtid="{D5CDD505-2E9C-101B-9397-08002B2CF9AE}" pid="10" name="DATE">
    <vt:lpwstr>20240624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 באומגרט</vt:lpwstr>
  </property>
  <property fmtid="{D5CDD505-2E9C-101B-9397-08002B2CF9AE}" pid="14" name="LAWLISTTMP1">
    <vt:lpwstr>70301/144.a;144.b:2;040.a;040.if</vt:lpwstr>
  </property>
  <property fmtid="{D5CDD505-2E9C-101B-9397-08002B2CF9AE}" pid="15" name="LAWYER">
    <vt:lpwstr>אמיר אלרון;עאדל בויראת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7811</vt:lpwstr>
  </property>
  <property fmtid="{D5CDD505-2E9C-101B-9397-08002B2CF9AE}" pid="22" name="NEWPARTB">
    <vt:lpwstr>10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390020240624</vt:lpwstr>
  </property>
  <property fmtid="{D5CDD505-2E9C-101B-9397-08002B2CF9AE}" pid="34" name="TYPE_N_DATE">
    <vt:lpwstr>39020240624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