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בחדרה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7814-11-09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מחאג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נה</w:t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דצמבר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7838-11-09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8"/>
        <w:gridCol w:w="2796"/>
        <w:gridCol w:w="5918"/>
      </w:tblGrid>
      <w:tr>
        <w:trPr/>
        <w:tc>
          <w:tcPr>
            <w:tcW w:w="88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משה גינות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עדנאן מחאג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bookmarkStart w:id="2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2"/>
      <w:r>
        <w:rPr>
          <w:u w:val="none"/>
          <w:rtl w:val="true"/>
        </w:rPr>
        <w:t xml:space="preserve">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חלי כהן</w:t>
      </w:r>
      <w:r>
        <w:rPr>
          <w:u w:val="none"/>
          <w:rtl w:val="true"/>
        </w:rPr>
        <w:t>-</w:t>
      </w:r>
      <w:r>
        <w:rPr>
          <w:u w:val="none"/>
          <w:rtl w:val="true"/>
        </w:rPr>
        <w:t>סיסו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בעצמו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עאדל בויראת</w:t>
      </w:r>
      <w:bookmarkStart w:id="3" w:name="LawTable"/>
      <w:bookmarkEnd w:id="3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עדנאן מחאג</w:t>
      </w:r>
      <w:r>
        <w:rPr>
          <w:rtl w:val="true"/>
        </w:rPr>
        <w:t>'</w:t>
      </w:r>
      <w:r>
        <w:rPr>
          <w:rtl w:val="true"/>
        </w:rPr>
        <w:t>נה</w:t>
      </w:r>
      <w:r>
        <w:rPr>
          <w:rtl w:val="true"/>
        </w:rPr>
        <w:t xml:space="preserve">, </w:t>
      </w:r>
      <w:r>
        <w:rPr>
          <w:rtl w:val="true"/>
        </w:rPr>
        <w:t>הורשע עפ</w:t>
      </w:r>
      <w:r>
        <w:rPr>
          <w:rtl w:val="true"/>
        </w:rPr>
        <w:t>"</w:t>
      </w:r>
      <w:r>
        <w:rPr>
          <w:rtl w:val="true"/>
        </w:rPr>
        <w:t>י הודאתו בעבירות של החזקת נשק וחלקי נשק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4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אין מחלוקת כי ביום </w:t>
      </w:r>
      <w:r>
        <w:rPr/>
        <w:t>5/11/09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11:00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>במהלך חיפוש משטרתי במחסן הסמוך לבית מגוריו של הנאשם באום</w:t>
      </w:r>
      <w:r>
        <w:rPr>
          <w:rtl w:val="true"/>
        </w:rPr>
        <w:t>-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פאחם</w:t>
      </w:r>
      <w:r>
        <w:rPr>
          <w:rtl w:val="true"/>
        </w:rPr>
        <w:t xml:space="preserve">, </w:t>
      </w:r>
      <w:r>
        <w:rPr>
          <w:rtl w:val="true"/>
        </w:rPr>
        <w:t>נמצא כי הנאשם מחזיק ברובה סער מסוג קלצ</w:t>
      </w:r>
      <w:r>
        <w:rPr>
          <w:rtl w:val="true"/>
        </w:rPr>
        <w:t>'</w:t>
      </w:r>
      <w:r>
        <w:rPr>
          <w:rtl w:val="true"/>
        </w:rPr>
        <w:t xml:space="preserve">ניקוב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הנשק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 האמורות החזיק הנאשם בנוסף 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מחסניות לרובה</w:t>
      </w:r>
      <w:r>
        <w:rPr>
          <w:rtl w:val="true"/>
        </w:rPr>
        <w:t xml:space="preserve">, </w:t>
      </w:r>
      <w:r>
        <w:rPr>
          <w:rtl w:val="true"/>
        </w:rPr>
        <w:t xml:space="preserve">בתחמושת מסוג </w:t>
      </w:r>
      <w:r>
        <w:rPr/>
        <w:t>7.62</w:t>
      </w:r>
      <w:r>
        <w:rPr>
          <w:rtl w:val="true"/>
        </w:rPr>
        <w:t xml:space="preserve"> - </w:t>
      </w:r>
      <w:r>
        <w:rPr/>
        <w:t>136</w:t>
      </w:r>
      <w:r>
        <w:rPr>
          <w:rtl w:val="true"/>
        </w:rPr>
        <w:t xml:space="preserve"> </w:t>
      </w:r>
      <w:r>
        <w:rPr>
          <w:rtl w:val="true"/>
        </w:rPr>
        <w:t xml:space="preserve">כדורים וכן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תרמילים של רובה סער מסוג קלצ</w:t>
      </w:r>
      <w:r>
        <w:rPr>
          <w:rtl w:val="true"/>
        </w:rPr>
        <w:t>'</w:t>
      </w:r>
      <w:r>
        <w:rPr>
          <w:rtl w:val="true"/>
        </w:rPr>
        <w:t xml:space="preserve">ניקוב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חלקי הנשק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 האמורות</w:t>
      </w:r>
      <w:r>
        <w:rPr>
          <w:rtl w:val="true"/>
        </w:rPr>
        <w:t xml:space="preserve">, </w:t>
      </w:r>
      <w:r>
        <w:rPr>
          <w:rtl w:val="true"/>
        </w:rPr>
        <w:t>הנאשם החזיק בנשק ובחלקיו בלא רשות על פי 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בישיבת יום </w:t>
      </w:r>
      <w:r>
        <w:rPr/>
        <w:t>28/6/10</w:t>
      </w:r>
      <w:r>
        <w:rPr>
          <w:rtl w:val="true"/>
        </w:rPr>
        <w:t xml:space="preserve"> </w:t>
      </w:r>
      <w:r>
        <w:rPr>
          <w:rtl w:val="true"/>
        </w:rPr>
        <w:t>הנאשם הודה בעובדות המיוחסות לו בכתב האישום ועניינו נשלח לקבלת תסקיר שירות מבחן</w:t>
      </w:r>
      <w:r>
        <w:rPr>
          <w:rtl w:val="true"/>
        </w:rPr>
        <w:t xml:space="preserve">, </w:t>
      </w:r>
      <w:r>
        <w:rPr>
          <w:rtl w:val="true"/>
        </w:rPr>
        <w:t>לעניין 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 xml:space="preserve">ביום </w:t>
      </w:r>
      <w:r>
        <w:rPr/>
        <w:t>15/11/10</w:t>
      </w:r>
      <w:r>
        <w:rPr>
          <w:rtl w:val="true"/>
        </w:rPr>
        <w:t xml:space="preserve"> </w:t>
      </w:r>
      <w:r>
        <w:rPr>
          <w:rtl w:val="true"/>
        </w:rPr>
        <w:t>הוגש תסקיר קצין מבחן</w:t>
      </w:r>
      <w:r>
        <w:rPr>
          <w:rtl w:val="true"/>
        </w:rPr>
        <w:t xml:space="preserve">, </w:t>
      </w:r>
      <w:r>
        <w:rPr>
          <w:rtl w:val="true"/>
        </w:rPr>
        <w:t xml:space="preserve">ממנו עולה כי המדובר בנאשם בן </w:t>
      </w:r>
      <w:r>
        <w:rPr/>
        <w:t>40</w:t>
      </w:r>
      <w:r>
        <w:rPr>
          <w:rtl w:val="true"/>
        </w:rPr>
        <w:t xml:space="preserve">, </w:t>
      </w:r>
      <w:r>
        <w:rPr>
          <w:rtl w:val="true"/>
        </w:rPr>
        <w:t>נשוי ואב 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כאשר ביתו הגדולה בת ה</w:t>
      </w:r>
      <w:r>
        <w:rPr>
          <w:rtl w:val="true"/>
        </w:rPr>
        <w:t xml:space="preserve">-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סובלת ממחלה כרונית</w:t>
      </w:r>
      <w:r>
        <w:rPr>
          <w:rtl w:val="true"/>
        </w:rPr>
        <w:t xml:space="preserve">, </w:t>
      </w:r>
      <w:r>
        <w:rPr>
          <w:rtl w:val="true"/>
        </w:rPr>
        <w:t>עברה ניתוחים רבים ונזקקת לטיפול רפואי ועזרה בבית</w:t>
      </w:r>
      <w:r>
        <w:rPr>
          <w:rtl w:val="true"/>
        </w:rPr>
        <w:t xml:space="preserve">. </w:t>
      </w:r>
      <w:r>
        <w:rPr>
          <w:rtl w:val="true"/>
        </w:rPr>
        <w:t>הנאשם אינו עובד מזה שנתיים עקב פריצת דיסק וכאבים בגבו</w:t>
      </w:r>
      <w:r>
        <w:rPr>
          <w:rtl w:val="true"/>
        </w:rPr>
        <w:t xml:space="preserve">, </w:t>
      </w:r>
      <w:r>
        <w:rPr>
          <w:rtl w:val="true"/>
        </w:rPr>
        <w:t>אשר נגרמו עקב תאונת דרכים בה היה מעורב</w:t>
      </w:r>
      <w:r>
        <w:rPr>
          <w:rtl w:val="true"/>
        </w:rPr>
        <w:t xml:space="preserve">, </w:t>
      </w:r>
      <w:r>
        <w:rPr>
          <w:rtl w:val="true"/>
        </w:rPr>
        <w:t>גם אשתו של הנאשם אינה עובדת</w:t>
      </w:r>
      <w:r>
        <w:rPr>
          <w:rtl w:val="true"/>
        </w:rPr>
        <w:t xml:space="preserve">. </w:t>
      </w:r>
      <w:r>
        <w:rPr>
          <w:rtl w:val="true"/>
        </w:rPr>
        <w:t xml:space="preserve">מהתסקיר עולה כי הנאשם סיים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לימוד</w:t>
      </w:r>
      <w:r>
        <w:rPr>
          <w:rtl w:val="true"/>
        </w:rPr>
        <w:t xml:space="preserve">, </w:t>
      </w:r>
      <w:r>
        <w:rPr>
          <w:rtl w:val="true"/>
        </w:rPr>
        <w:t>ולאחר מכן יצא לעבוד</w:t>
      </w:r>
      <w:r>
        <w:rPr>
          <w:rtl w:val="true"/>
        </w:rPr>
        <w:t xml:space="preserve">. </w:t>
      </w:r>
      <w:r>
        <w:rPr>
          <w:rtl w:val="true"/>
        </w:rPr>
        <w:t xml:space="preserve">במשך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 עבד אצל אחיו</w:t>
      </w:r>
      <w:r>
        <w:rPr>
          <w:rtl w:val="true"/>
        </w:rPr>
        <w:t xml:space="preserve">, </w:t>
      </w:r>
      <w:r>
        <w:rPr>
          <w:rtl w:val="true"/>
        </w:rPr>
        <w:t>בתחום הרהיטים והרכבתם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 לעבירה נשוא תיק זה</w:t>
      </w:r>
      <w:r>
        <w:rPr>
          <w:rtl w:val="true"/>
        </w:rPr>
        <w:t xml:space="preserve">, </w:t>
      </w:r>
      <w:r>
        <w:rPr>
          <w:rtl w:val="true"/>
        </w:rPr>
        <w:t>הנאשם הודה והסביר כי מצא את השקית עם הנשק בזמן שהשגיח על מטע הזיתים השייך למשפחתו</w:t>
      </w:r>
      <w:r>
        <w:rPr>
          <w:rtl w:val="true"/>
        </w:rPr>
        <w:t xml:space="preserve">. </w:t>
      </w:r>
      <w:r>
        <w:rPr>
          <w:rtl w:val="true"/>
        </w:rPr>
        <w:t>הנאשם לקח את השקית לביתו והניחה במחסן ארבעה ימים לפני שנערך חיפוש בביתו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 המבחן התרשם כי מידת הפנמתו את חומרת העבירה ואת השלכותיה האפשריות</w:t>
      </w:r>
      <w:r>
        <w:rPr>
          <w:rtl w:val="true"/>
        </w:rPr>
        <w:t xml:space="preserve">, </w:t>
      </w:r>
      <w:r>
        <w:rPr>
          <w:rtl w:val="true"/>
        </w:rPr>
        <w:t>הינה מוגבלת</w:t>
      </w:r>
      <w:r>
        <w:rPr>
          <w:rtl w:val="true"/>
        </w:rPr>
        <w:t xml:space="preserve">, </w:t>
      </w:r>
      <w:r>
        <w:rPr>
          <w:rtl w:val="true"/>
        </w:rPr>
        <w:t>מה שאינו מפחית בסיכון למעורבות עבריינית חוזרת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בסופו של דבר נוכח נסיבותיו האישיות של הנאשם המליץ שירות המבחן להטיל עליו עונש של מאסר לריצוי בדרך של עבודות 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בעתירתה לעונש</w:t>
      </w:r>
      <w:r>
        <w:rPr>
          <w:rtl w:val="true"/>
        </w:rPr>
        <w:t xml:space="preserve">, </w:t>
      </w:r>
      <w:r>
        <w:rPr>
          <w:rtl w:val="true"/>
        </w:rPr>
        <w:t>עמדה על חומרת העבירה</w:t>
      </w:r>
      <w:r>
        <w:rPr>
          <w:rtl w:val="true"/>
        </w:rPr>
        <w:t xml:space="preserve">. </w:t>
      </w:r>
      <w:r>
        <w:rPr>
          <w:rtl w:val="true"/>
        </w:rPr>
        <w:t>לדבריה פסיקת בתי המשפט הינה חד</w:t>
      </w:r>
      <w:r>
        <w:rPr>
          <w:rtl w:val="true"/>
        </w:rPr>
        <w:t>-</w:t>
      </w:r>
      <w:r>
        <w:rPr>
          <w:rtl w:val="true"/>
        </w:rPr>
        <w:t>משמעית וממנה עולה כי יש לגזור למורשעים בגין עבירה זו</w:t>
      </w:r>
      <w:r>
        <w:rPr>
          <w:rtl w:val="true"/>
        </w:rPr>
        <w:t xml:space="preserve">, </w:t>
      </w:r>
      <w:r>
        <w:rPr>
          <w:rtl w:val="true"/>
        </w:rPr>
        <w:t>עונש מאסר לריצוי 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המחזיק בכלי נשק ללא הרשאה כדין</w:t>
      </w:r>
      <w:r>
        <w:rPr>
          <w:rtl w:val="true"/>
        </w:rPr>
        <w:t xml:space="preserve">, </w:t>
      </w:r>
      <w:r>
        <w:rPr>
          <w:rtl w:val="true"/>
        </w:rPr>
        <w:t>מסכן את הסובבים אותו וכי אין כל מקום לנקוט בגישה מקלה כלפי כל מי שמחזיק בכלי נשק בצורה בלתי חוקית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הפנתה למספר רב של פסקי</w:t>
      </w:r>
      <w:r>
        <w:rPr>
          <w:rtl w:val="true"/>
        </w:rPr>
        <w:t>-</w:t>
      </w:r>
      <w:r>
        <w:rPr>
          <w:rtl w:val="true"/>
        </w:rPr>
        <w:t xml:space="preserve">דין בהם נקבע כי אין מקום לנקוט בגישה מקלה כלפי מי שמורשעים בעבירה של החזקת נשק בלתי חוקית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tl w:val="true"/>
        </w:rPr>
        <w:t xml:space="preserve">: </w:t>
      </w:r>
      <w:hyperlink r:id="rId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3153/07</w:t>
        </w:r>
      </w:hyperlink>
      <w:r>
        <w:rPr>
          <w:rtl w:val="true"/>
        </w:rPr>
        <w:t xml:space="preserve"> </w:t>
      </w:r>
      <w:r>
        <w:rPr>
          <w:rtl w:val="true"/>
        </w:rPr>
        <w:t>רביע עוואד נ</w:t>
      </w:r>
      <w:r>
        <w:rPr>
          <w:rtl w:val="true"/>
        </w:rPr>
        <w:t xml:space="preserve">' </w:t>
      </w:r>
      <w:r>
        <w:rPr>
          <w:rtl w:val="true"/>
        </w:rPr>
        <w:t>מדינת ישראל</w:t>
      </w:r>
      <w:r>
        <w:rPr>
          <w:rtl w:val="true"/>
        </w:rPr>
        <w:t xml:space="preserve">; </w:t>
      </w:r>
      <w:hyperlink r:id="rId7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</w:t>
      </w:r>
      <w:r>
        <w:rPr>
          <w:rtl w:val="true"/>
        </w:rPr>
        <w:t>אבו דחאל נ</w:t>
      </w:r>
      <w:r>
        <w:rPr>
          <w:rtl w:val="true"/>
        </w:rPr>
        <w:t xml:space="preserve">' </w:t>
      </w:r>
      <w:r>
        <w:rPr>
          <w:rtl w:val="true"/>
        </w:rPr>
        <w:t>מדינת ישראל</w:t>
      </w:r>
      <w:r>
        <w:rPr>
          <w:rtl w:val="true"/>
        </w:rPr>
        <w:t xml:space="preserve">; </w:t>
      </w:r>
      <w:r>
        <w:rPr>
          <w:rtl w:val="true"/>
        </w:rPr>
        <w:t>ו</w:t>
      </w:r>
      <w:hyperlink r:id="rId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2839/05</w:t>
        </w:r>
      </w:hyperlink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ביקש להדגיש כי הנאשם לא ניסה להטיל את האחריות של ביצוע העבירה על אדם אחר</w:t>
      </w:r>
      <w:r>
        <w:rPr>
          <w:rtl w:val="true"/>
        </w:rPr>
        <w:t xml:space="preserve">, </w:t>
      </w:r>
      <w:r>
        <w:rPr>
          <w:rtl w:val="true"/>
        </w:rPr>
        <w:t>אלא הודה בהזדמנות הראשונה שנקרתה בפניו</w:t>
      </w:r>
      <w:r>
        <w:rPr>
          <w:rtl w:val="true"/>
        </w:rPr>
        <w:t xml:space="preserve">. </w:t>
      </w:r>
      <w:r>
        <w:rPr>
          <w:rtl w:val="true"/>
        </w:rPr>
        <w:t xml:space="preserve">הוא הצביע על כך שמדובר באדם בן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אב לילדים</w:t>
      </w:r>
      <w:r>
        <w:rPr>
          <w:rtl w:val="true"/>
        </w:rPr>
        <w:t xml:space="preserve">, </w:t>
      </w:r>
      <w:r>
        <w:rPr>
          <w:rtl w:val="true"/>
        </w:rPr>
        <w:t>שזו לו ההסתבכות הראשונה עם החוק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לא התעלם מן הגישה הגורסת כי בעבירות כגון דא</w:t>
      </w:r>
      <w:r>
        <w:rPr>
          <w:rtl w:val="true"/>
        </w:rPr>
        <w:t xml:space="preserve">, </w:t>
      </w:r>
      <w:r>
        <w:rPr>
          <w:rtl w:val="true"/>
        </w:rPr>
        <w:t>אין מקום לנקוט בגישה מקלה</w:t>
      </w:r>
      <w:r>
        <w:rPr>
          <w:rtl w:val="true"/>
        </w:rPr>
        <w:t xml:space="preserve">, </w:t>
      </w:r>
      <w:r>
        <w:rPr>
          <w:rtl w:val="true"/>
        </w:rPr>
        <w:t>אולם לדבריו 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גילו וההמלצות שנכתבו בתסקיר קצין המבחן</w:t>
      </w:r>
      <w:r>
        <w:rPr>
          <w:rtl w:val="true"/>
        </w:rPr>
        <w:t xml:space="preserve">, </w:t>
      </w:r>
      <w:r>
        <w:rPr>
          <w:rtl w:val="true"/>
        </w:rPr>
        <w:t>מצדיקות סטייה מעונש המאסר לריצוי בפועל הראוי לאלו המורשעים בגין ביצוע עבירה 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הדגיש בטיעוניו</w:t>
      </w:r>
      <w:r>
        <w:rPr>
          <w:rtl w:val="true"/>
        </w:rPr>
        <w:t xml:space="preserve">, </w:t>
      </w:r>
      <w:r>
        <w:rPr>
          <w:rtl w:val="true"/>
        </w:rPr>
        <w:t>כי נסיבותיו האישיות של הנאשם קשות</w:t>
      </w:r>
      <w:r>
        <w:rPr>
          <w:rtl w:val="true"/>
        </w:rPr>
        <w:t xml:space="preserve">, </w:t>
      </w:r>
      <w:r>
        <w:rPr>
          <w:rtl w:val="true"/>
        </w:rPr>
        <w:t xml:space="preserve">שהינו בן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ועברו נקי</w:t>
      </w:r>
      <w:r>
        <w:rPr>
          <w:rtl w:val="true"/>
        </w:rPr>
        <w:t xml:space="preserve">, </w:t>
      </w:r>
      <w:r>
        <w:rPr>
          <w:rtl w:val="true"/>
        </w:rPr>
        <w:t xml:space="preserve">שכן בתו לוקה במחלה קשה </w:t>
      </w:r>
      <w:r>
        <w:rPr>
          <w:rtl w:val="true"/>
        </w:rPr>
        <w:t>(</w:t>
      </w:r>
      <w:r>
        <w:rPr>
          <w:rtl w:val="true"/>
        </w:rPr>
        <w:t>ראה 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ורעייתו לוקה אף היא במחלות קשות</w:t>
      </w:r>
      <w:r>
        <w:rPr>
          <w:rtl w:val="true"/>
        </w:rPr>
        <w:t xml:space="preserve">. </w:t>
      </w:r>
      <w:r>
        <w:rPr>
          <w:rtl w:val="true"/>
        </w:rPr>
        <w:t>הוא הצביע על כך שהנאשם מטפל גם באביו החולני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בנוסף הוא טען כי הנאשם נעצר לפרק זמן של למעלה מחודש בגין הסתבכותו בביצוע העבירה בה הורשע והוא שהה במעצר בית מוחלט בין התאריכים </w:t>
      </w:r>
      <w:r>
        <w:rPr/>
        <w:t>7.12.09</w:t>
      </w:r>
      <w:r>
        <w:rPr>
          <w:rtl w:val="true"/>
        </w:rPr>
        <w:t xml:space="preserve"> </w:t>
      </w:r>
      <w:r>
        <w:rPr>
          <w:rtl w:val="true"/>
        </w:rPr>
        <w:t xml:space="preserve">ועד </w:t>
      </w:r>
      <w:r>
        <w:rPr/>
        <w:t>28/6/10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על מנת לתמוך בטיעוניו</w:t>
      </w:r>
      <w:r>
        <w:rPr>
          <w:rtl w:val="true"/>
        </w:rPr>
        <w:t xml:space="preserve">, </w:t>
      </w:r>
      <w:r>
        <w:rPr>
          <w:rtl w:val="true"/>
        </w:rPr>
        <w:t>הגיש הסנגור אסופת פסיקה בהם גזרו בתי המשפט עונשי מאסר לריצוי בעבודות שירות על אלו שהורשעו בביצוע עבירה של החזקה בלתי חוקית של נשק</w:t>
      </w:r>
      <w:r>
        <w:rPr>
          <w:rtl w:val="true"/>
        </w:rPr>
        <w:t xml:space="preserve">, </w:t>
      </w:r>
      <w:r>
        <w:rPr>
          <w:rtl w:val="true"/>
        </w:rPr>
        <w:t>שעה שעברם הוא נקי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עם תום שמיעת הטיעונים ועיון בכל המסמכים הרלוונטים</w:t>
      </w:r>
      <w:r>
        <w:rPr>
          <w:rtl w:val="true"/>
        </w:rPr>
        <w:t xml:space="preserve">, </w:t>
      </w:r>
      <w:r>
        <w:rPr>
          <w:rtl w:val="true"/>
        </w:rPr>
        <w:t>החלטתי שלא למצות את הדין עם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הנני סבור כי יש לתת משקל לעובדה שהמדובר בנאשם בן </w:t>
      </w:r>
      <w:r>
        <w:rPr/>
        <w:t>40</w:t>
      </w:r>
      <w:r>
        <w:rPr>
          <w:rtl w:val="true"/>
        </w:rPr>
        <w:t xml:space="preserve">, </w:t>
      </w:r>
      <w:r>
        <w:rPr>
          <w:rtl w:val="true"/>
        </w:rPr>
        <w:t>שמעולם לא הסתבך עם החוק</w:t>
      </w:r>
      <w:r>
        <w:rPr>
          <w:rtl w:val="true"/>
        </w:rPr>
        <w:t xml:space="preserve">. </w:t>
      </w:r>
      <w:r>
        <w:rPr>
          <w:rtl w:val="true"/>
        </w:rPr>
        <w:t>עסקינן בנאשם נשוי</w:t>
      </w:r>
      <w:r>
        <w:rPr>
          <w:rtl w:val="true"/>
        </w:rPr>
        <w:t xml:space="preserve">, </w:t>
      </w:r>
      <w:r>
        <w:rPr>
          <w:rtl w:val="true"/>
        </w:rPr>
        <w:t>אב 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כאשר אחת מבנותיו לוקה במחלה קשה</w:t>
      </w:r>
      <w:r>
        <w:rPr>
          <w:rtl w:val="true"/>
        </w:rPr>
        <w:t xml:space="preserve">. </w:t>
      </w:r>
      <w:r>
        <w:rPr>
          <w:rtl w:val="true"/>
        </w:rPr>
        <w:t>עוד הנני סבור</w:t>
      </w:r>
      <w:r>
        <w:rPr>
          <w:rtl w:val="true"/>
        </w:rPr>
        <w:t xml:space="preserve">, </w:t>
      </w:r>
      <w:r>
        <w:rPr>
          <w:rtl w:val="true"/>
        </w:rPr>
        <w:t>כי יש להתחשב בעובדה שהנאשם הודה בהזדמנות הראשונה שניתנה לו וכן בתקופות בהן שהה במעצר סגור ובמעצר בית בגין הסתבכות 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לא התעלמתי מן הפסיקה אותה הציגה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הגורסת כי יש להחמיר עם אלו המורשעים בגין עבירה זו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ניתן להצביע על פסיקה התומכת בעמדתי שלא למצות את הדין עם הנאשם</w:t>
      </w:r>
      <w:r>
        <w:rPr>
          <w:rtl w:val="true"/>
        </w:rPr>
        <w:t xml:space="preserve">, </w:t>
      </w:r>
      <w:r>
        <w:rPr>
          <w:rtl w:val="true"/>
        </w:rPr>
        <w:t>חרף הרשעתו בעבירה זו</w:t>
      </w:r>
      <w:r>
        <w:rPr>
          <w:rtl w:val="true"/>
        </w:rPr>
        <w:t xml:space="preserve">. </w:t>
      </w:r>
      <w:r>
        <w:rPr>
          <w:rtl w:val="true"/>
        </w:rPr>
        <w:t>ראה</w:t>
      </w:r>
      <w:r>
        <w:rPr>
          <w:rtl w:val="true"/>
        </w:rPr>
        <w:t xml:space="preserve">: </w:t>
      </w:r>
      <w:hyperlink r:id="rId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  <w:rtl w:val="true"/>
          </w:rPr>
          <w:t xml:space="preserve">חיפה </w:t>
        </w:r>
        <w:r>
          <w:rPr>
            <w:rStyle w:val="Hyperlink"/>
            <w:color w:val="0000FF"/>
            <w:u w:val="single"/>
          </w:rPr>
          <w:t>274/02</w:t>
        </w:r>
      </w:hyperlink>
      <w:r>
        <w:rPr>
          <w:rtl w:val="true"/>
        </w:rPr>
        <w:t xml:space="preserve"> </w:t>
      </w:r>
      <w:r>
        <w:rPr>
          <w:rtl w:val="true"/>
        </w:rPr>
        <w:t>מפי כב</w:t>
      </w:r>
      <w:r>
        <w:rPr>
          <w:rtl w:val="true"/>
        </w:rPr>
        <w:t xml:space="preserve">' </w:t>
      </w:r>
      <w:r>
        <w:rPr>
          <w:rtl w:val="true"/>
        </w:rPr>
        <w:t xml:space="preserve">השופט גרשון 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71798/04</w:t>
        </w:r>
      </w:hyperlink>
      <w:r>
        <w:rPr>
          <w:rtl w:val="true"/>
        </w:rPr>
        <w:t xml:space="preserve"> </w:t>
      </w:r>
      <w:r>
        <w:rPr>
          <w:rtl w:val="true"/>
        </w:rPr>
        <w:t>אבו גזלה סלים ביהמ</w:t>
      </w:r>
      <w:r>
        <w:rPr>
          <w:rtl w:val="true"/>
        </w:rPr>
        <w:t>"</w:t>
      </w:r>
      <w:r>
        <w:rPr>
          <w:rtl w:val="true"/>
        </w:rPr>
        <w:t>ש 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; 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10774-06-01</w:t>
      </w:r>
      <w:r>
        <w:rPr>
          <w:rtl w:val="true"/>
        </w:rPr>
        <w:t xml:space="preserve"> </w:t>
      </w:r>
      <w:r>
        <w:rPr>
          <w:rtl w:val="true"/>
        </w:rPr>
        <w:t>מדינת ישראל נ</w:t>
      </w:r>
      <w:r>
        <w:rPr>
          <w:rtl w:val="true"/>
        </w:rPr>
        <w:t xml:space="preserve">' </w:t>
      </w:r>
      <w:r>
        <w:rPr>
          <w:rtl w:val="true"/>
        </w:rPr>
        <w:t>אגבריה</w:t>
      </w:r>
      <w:r>
        <w:rPr>
          <w:rtl w:val="true"/>
        </w:rPr>
        <w:t xml:space="preserve">, </w:t>
      </w:r>
      <w:r>
        <w:rPr>
          <w:rtl w:val="true"/>
        </w:rPr>
        <w:t>מפי כב</w:t>
      </w:r>
      <w:r>
        <w:rPr>
          <w:rtl w:val="true"/>
        </w:rPr>
        <w:t xml:space="preserve">' </w:t>
      </w:r>
      <w:r>
        <w:rPr>
          <w:rtl w:val="true"/>
        </w:rPr>
        <w:t>השופט שפירא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 דבר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לאחר ששקלתי מכלול השיקולים</w:t>
      </w:r>
      <w:r>
        <w:rPr>
          <w:rtl w:val="true"/>
        </w:rPr>
        <w:t xml:space="preserve">, </w:t>
      </w:r>
      <w:r>
        <w:rPr>
          <w:rtl w:val="true"/>
        </w:rPr>
        <w:t xml:space="preserve">החלטתי לגזור לנאשם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 מאסר אשר ירוצו בעבודות שירות בביה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"</w:t>
      </w:r>
      <w:r>
        <w:rPr>
          <w:rtl w:val="true"/>
        </w:rPr>
        <w:t>הלל יפה</w:t>
      </w:r>
      <w:r>
        <w:rPr>
          <w:rtl w:val="true"/>
        </w:rPr>
        <w:t xml:space="preserve">" </w:t>
      </w:r>
      <w:r>
        <w:rPr>
          <w:rtl w:val="true"/>
        </w:rPr>
        <w:t>שבחדרה</w:t>
      </w:r>
      <w:r>
        <w:rPr>
          <w:rtl w:val="true"/>
        </w:rPr>
        <w:t xml:space="preserve">, </w:t>
      </w:r>
      <w:r>
        <w:rPr>
          <w:rtl w:val="true"/>
        </w:rPr>
        <w:t>הכל על</w:t>
      </w:r>
      <w:r>
        <w:rPr>
          <w:rtl w:val="true"/>
        </w:rPr>
        <w:t>-</w:t>
      </w:r>
      <w:r>
        <w:rPr>
          <w:rtl w:val="true"/>
        </w:rPr>
        <w:t>פי קביעת הממונה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על הנאשם להתייצב ביום </w:t>
      </w:r>
      <w:r>
        <w:rPr/>
        <w:t>15/12/10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בפני הממונה על עבודות 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כן הנני גוזר על הנאשם 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 ישוב ויעבור העבירה בה 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הנני מורה על חילוט כלי הנשק והחזרתו 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זכות ערעור בתוך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 לביהמ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ש המחוזי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David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טבת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14/12/2010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משה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גינות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David"/>
        <w:ind w:end="0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 דוחה את בקשת המאשימה</w:t>
      </w:r>
      <w:r>
        <w:rPr>
          <w:rtl w:val="true"/>
        </w:rPr>
        <w:t xml:space="preserve">, </w:t>
      </w:r>
      <w:r>
        <w:rPr>
          <w:rtl w:val="true"/>
        </w:rPr>
        <w:t>ועל הנאשם להתייצב מחר בפני הממונה על עבודות 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ז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טבת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14/12/2010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משה גינות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משה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גינות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ב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בטי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ברייטברט</w:t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1"/>
      <w:footerReference w:type="default" r:id="rId12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/Users/liorb/Downloads/study2025-p2/SH-09-11-7814-406.doc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חד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7814-11-09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עדנאן מחאג</w:t>
    </w:r>
    <w:r>
      <w:rPr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נה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6211618" TargetMode="External"/><Relationship Id="rId7" Type="http://schemas.openxmlformats.org/officeDocument/2006/relationships/hyperlink" Target="http://www.nevo.co.il/case/5852404" TargetMode="External"/><Relationship Id="rId8" Type="http://schemas.openxmlformats.org/officeDocument/2006/relationships/hyperlink" Target="http://www.nevo.co.il/case/5859902" TargetMode="External"/><Relationship Id="rId9" Type="http://schemas.openxmlformats.org/officeDocument/2006/relationships/hyperlink" Target="http://www.nevo.co.il/case/242462" TargetMode="External"/><Relationship Id="rId10" Type="http://schemas.openxmlformats.org/officeDocument/2006/relationships/hyperlink" Target="http://www.nevo.co.il/case/390051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2016-08-08T14:47:00Z</dcterms:created>
  <dc:creator> </dc:creator>
  <dc:description/>
  <cp:keywords/>
  <dc:language>en-IL</dc:language>
  <cp:lastModifiedBy>hofit</cp:lastModifiedBy>
  <dcterms:modified xsi:type="dcterms:W3CDTF">2016-08-08T14:47:00Z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עדנאן מחאג'נה</vt:lpwstr>
  </property>
  <property fmtid="{D5CDD505-2E9C-101B-9397-08002B2CF9AE}" pid="4" name="CASESLISTTMP1">
    <vt:lpwstr>6211618;5852404;5859902;242462;390051</vt:lpwstr>
  </property>
  <property fmtid="{D5CDD505-2E9C-101B-9397-08002B2CF9AE}" pid="5" name="CITY">
    <vt:lpwstr>חד'</vt:lpwstr>
  </property>
  <property fmtid="{D5CDD505-2E9C-101B-9397-08002B2CF9AE}" pid="6" name="DATE">
    <vt:lpwstr>20101214</vt:lpwstr>
  </property>
  <property fmtid="{D5CDD505-2E9C-101B-9397-08002B2CF9AE}" pid="7" name="ISABSTRACT">
    <vt:lpwstr>Y</vt:lpwstr>
  </property>
  <property fmtid="{D5CDD505-2E9C-101B-9397-08002B2CF9AE}" pid="8" name="JUDGE">
    <vt:lpwstr>משה גינות</vt:lpwstr>
  </property>
  <property fmtid="{D5CDD505-2E9C-101B-9397-08002B2CF9AE}" pid="9" name="LAWLISTTMP1">
    <vt:lpwstr>70301/144.a</vt:lpwstr>
  </property>
  <property fmtid="{D5CDD505-2E9C-101B-9397-08002B2CF9AE}" pid="10" name="LAWYER">
    <vt:lpwstr>חלי כהן סיסו;עאדל בויראת</vt:lpwstr>
  </property>
  <property fmtid="{D5CDD505-2E9C-101B-9397-08002B2CF9AE}" pid="11" name="NEWPARTA">
    <vt:lpwstr>7814</vt:lpwstr>
  </property>
  <property fmtid="{D5CDD505-2E9C-101B-9397-08002B2CF9AE}" pid="12" name="NEWPARTB">
    <vt:lpwstr>11</vt:lpwstr>
  </property>
  <property fmtid="{D5CDD505-2E9C-101B-9397-08002B2CF9AE}" pid="13" name="NEWPARTC">
    <vt:lpwstr>09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RemarkFileName">
    <vt:lpwstr>shalom sh 09 11 7814 406 htm</vt:lpwstr>
  </property>
  <property fmtid="{D5CDD505-2E9C-101B-9397-08002B2CF9AE}" pid="17" name="TYPE">
    <vt:lpwstr>3</vt:lpwstr>
  </property>
  <property fmtid="{D5CDD505-2E9C-101B-9397-08002B2CF9AE}" pid="18" name="TYPE_ABS_DATE">
    <vt:lpwstr>380020101214</vt:lpwstr>
  </property>
  <property fmtid="{D5CDD505-2E9C-101B-9397-08002B2CF9AE}" pid="19" name="TYPE_N_DATE">
    <vt:lpwstr>38020101214</vt:lpwstr>
  </property>
  <property fmtid="{D5CDD505-2E9C-101B-9397-08002B2CF9AE}" pid="20" name="WORDNUMPAGES">
    <vt:lpwstr>4</vt:lpwstr>
  </property>
</Properties>
</file>