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7870-10-17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סחאב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מרב יולי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חוזיפה אבו סחאב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ערן חסיד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הודה במסגרת הסדר טיעון בעובדות 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1.10.13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נרשם הנאשם כעוסק מורשה לעניין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hyperlink r:id="rId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בתחום עבודות צבע בבתים פרטיים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בתקופה שבין 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ניכה הנאשם בחמשת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התקופתיים שהגיש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 תשומות בהעדר מסמכים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מס התשומות אותו ניכה הנאשם בדיווחיו התקופתיים הינו </w:t>
      </w:r>
      <w:r>
        <w:rPr>
          <w:rFonts w:cs="Arial" w:ascii="Arial" w:hAnsi="Arial"/>
        </w:rPr>
        <w:t>608,305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הודייתו של הנאשם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בביצוען של חמש עבירות של ניכוי מס תשומות שלא כדין בניגוד לסעיף </w:t>
      </w:r>
      <w:r>
        <w:rPr>
          <w:rFonts w:cs="Arial" w:ascii="Arial" w:hAnsi="Arial"/>
        </w:rPr>
        <w:t>117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הצדדים הציגו הסדר טיעון שלהלן פרטיו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המאשימה תגביל את טיעוניה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שינוע בין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לתקופה של שלוש שנים וכן קנס בסך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שישולם בתשלומים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שעל אף העובדה שלנאשם אין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הראוי הוא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שהנאשם לא הסיר את המחדל שנובע מהעבירות שבוצעו על 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החזיר למדינה את הסכום שנגזל מהקופה הציבורית בשל העבירות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את הסך של </w:t>
      </w:r>
      <w:r>
        <w:rPr>
          <w:rFonts w:cs="Arial" w:ascii="Arial" w:hAnsi="Arial"/>
        </w:rPr>
        <w:t>608,305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כח הנאשם ציין שהנאשם נשוי ואב לילדה בת שלוש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נוצל על ידי גורמים עברייניים ששידלו אותו לפתוח עסק שישמש לביצוע עבירות מס ואף קיבל איומים היה ויפליל את מי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מפרנס יחיד של משפחתו והמאסר עלול לגרום לו לנזק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שהנאשם עובד כיום כנהג משאית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מכתב המלצה של המעביד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ושליחתו למאסר לתקופה ממושכת עלול לגדוע את מקור פרנסתו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של הנאשם גם אמר דברים לזכותו ועל ההלם שהיכה במשפחה בעת שנודע שהנאשם מעורב בפלילים בגין עבירות מס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העובדה שמדובר בהסדר טיעון עם הסכמה לגבי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תקרה עליונה שלה טוענת המאשימה לרכיב המאסר בפועל וכן הסכמה גמורה לגבי גובה הקנס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מוצא צורך להרחיב בנוגע למדיניות הענישה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אסתפק בהפניה לפסק דין אחד של בית המשפט העליון שעובדותיו דומות למקרה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1929/18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אריאלי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26.4.18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b/>
          <w:b/>
          <w:bCs/>
          <w:rtl w:val="true"/>
        </w:rPr>
        <w:t xml:space="preserve"> אריאלי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אריאלי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המבקש הורשע על ידי בית משפט השלום באשדוד בגין ביצוע עבירות מסוג פשע לפי סעיף </w:t>
      </w:r>
      <w:r>
        <w:rPr>
          <w:rFonts w:cs="Arial" w:ascii="Arial" w:hAnsi="Arial"/>
        </w:rPr>
        <w:t>117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שנגזל מהקופה הציבורית בשל העבירות שבוצעו עמד על סך </w:t>
      </w:r>
      <w:r>
        <w:rPr>
          <w:rFonts w:cs="Arial" w:ascii="Arial" w:hAnsi="Arial"/>
        </w:rPr>
        <w:t>281,404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פחות ממחצית מסכום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שרלוונטי לתיק שבפני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היה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נורמטיבי ובעל נסיבות משפחתיות מורכבות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לא הסיר את המחדל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באשדוד השית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המדינה ערערה על קולת העונש לבית המשפט המחוזי בבאר שבע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הערעור התקבל ונקבע שמתחם הענישה 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עונשו הומר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וכן לקנס של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בקשת רשות ערעור שהוגשה לבית המשפט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טענתו של הנאשם שתמימותו וגילו הצעיר נוצלו על ידי גורמים עברייניים על מנת לקדם תכנית עבריינית משלהם לביצוע עבירות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בטענה זו כדי להושיע את הנאשם מעונש של מאסר בפועל מאחורי סורג ובריח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ושנאמרו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4791/08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כהן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נ</w:t>
      </w:r>
      <w:r>
        <w:rPr>
          <w:rFonts w:cs="Arial (W1);Arial" w:ascii="Arial (W1);Arial" w:hAnsi="Arial (W1);Arial"/>
          <w:b/>
          <w:bCs/>
          <w:rtl w:val="true"/>
        </w:rPr>
        <w:t xml:space="preserve">' </w:t>
      </w:r>
      <w:r>
        <w:rPr>
          <w:rFonts w:ascii="Arial (W1);Arial" w:hAnsi="Arial (W1);Arial" w:cs="Arial (W1);Arial"/>
          <w:b/>
          <w:b/>
          <w:bCs/>
          <w:rtl w:val="true"/>
        </w:rPr>
        <w:t>מדינת ישראל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rtl w:val="true"/>
        </w:rPr>
        <w:t>[</w:t>
      </w:r>
      <w:r>
        <w:rPr>
          <w:rFonts w:ascii="Arial (W1);Arial" w:hAnsi="Arial (W1);Arial" w:cs="Arial (W1);Arial"/>
          <w:rtl w:val="true"/>
        </w:rPr>
        <w:t>פורסם בנבו</w:t>
      </w:r>
      <w:r>
        <w:rPr>
          <w:rFonts w:cs="Arial (W1);Arial" w:ascii="Arial (W1);Arial" w:hAnsi="Arial (W1);Arial"/>
          <w:rtl w:val="true"/>
        </w:rPr>
        <w:t>] (</w:t>
      </w:r>
      <w:r>
        <w:rPr>
          <w:rFonts w:cs="Arial (W1);Arial" w:ascii="Arial (W1);Arial" w:hAnsi="Arial (W1);Arial"/>
        </w:rPr>
        <w:t>9.2.2009</w:t>
      </w:r>
      <w:r>
        <w:rPr>
          <w:rFonts w:cs="Arial (W1);Arial" w:ascii="Arial (W1);Arial" w:hAnsi="Arial (W1);Arial"/>
          <w:rtl w:val="true"/>
        </w:rPr>
        <w:t xml:space="preserve">), </w:t>
      </w:r>
      <w:r>
        <w:rPr>
          <w:rFonts w:ascii="Arial (W1);Arial" w:hAnsi="Arial (W1);Arial" w:cs="Arial (W1);Arial"/>
          <w:rtl w:val="true"/>
        </w:rPr>
        <w:t xml:space="preserve">פסקה </w:t>
      </w:r>
      <w:r>
        <w:rPr>
          <w:rFonts w:cs="Arial (W1);Arial" w:ascii="Arial (W1);Arial" w:hAnsi="Arial (W1);Arial"/>
        </w:rPr>
        <w:t>15</w:t>
      </w:r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לפסק דינו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כ</w:t>
      </w:r>
      <w:r>
        <w:rPr>
          <w:rFonts w:ascii="Arial (W1);Arial" w:hAnsi="Arial (W1);Arial" w:cs="Arial (W1);Arial"/>
          <w:rtl w:val="true"/>
        </w:rPr>
        <w:t>אשר ל</w:t>
      </w:r>
      <w:r>
        <w:rPr>
          <w:rFonts w:ascii="Arial (W1);Arial" w:hAnsi="Arial (W1);Arial" w:cs="Arial (W1);Arial"/>
          <w:rtl w:val="true"/>
        </w:rPr>
        <w:t xml:space="preserve">חוות דעתו </w:t>
      </w:r>
      <w:r>
        <w:rPr>
          <w:rFonts w:ascii="Arial (W1);Arial" w:hAnsi="Arial (W1);Arial" w:cs="Arial (W1);Arial"/>
          <w:rtl w:val="true"/>
        </w:rPr>
        <w:t>הצטרפו כבוד השופטים ארבל ודנציגר</w:t>
      </w:r>
      <w:r>
        <w:rPr>
          <w:rFonts w:cs="Arial (W1);Arial" w:ascii="Arial (W1);Arial" w:hAnsi="Arial (W1);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בעניין האמירות כי המבקש לא היה הגורם המרכזי בעבירות וכי ככל הנראה לא הפיק מהן טובת הנאה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ספק בעיני מה משקלן של אמירות אלו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rtl w:val="true"/>
        </w:rPr>
        <w:t>כשם שקבע בית המשפט המחוזי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 xml:space="preserve">אף אם נקבל את טענת המבקש כי היה רק 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איש קש</w:t>
      </w:r>
      <w:r>
        <w:rPr>
          <w:rFonts w:cs="Arial (W1);Arial" w:ascii="Arial (W1);Arial" w:hAnsi="Arial (W1);Arial"/>
          <w:rtl w:val="true"/>
        </w:rPr>
        <w:t xml:space="preserve">" </w:t>
      </w:r>
      <w:r>
        <w:rPr>
          <w:rFonts w:ascii="Arial (W1);Arial" w:hAnsi="Arial (W1);Arial" w:cs="Arial (W1);Arial"/>
          <w:rtl w:val="true"/>
        </w:rPr>
        <w:t>עבור אותו רבי אשר בפועל ניהל את החברה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אין זה ברור כלל וכלל כי יש בכך כדי להפחית מחומרת מעשיו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ascii="Arial (W1);Arial" w:hAnsi="Arial (W1);Arial" w:cs="Arial (W1);Arial"/>
          <w:b/>
          <w:b/>
          <w:bCs/>
          <w:rtl w:val="true"/>
        </w:rPr>
        <w:t>אדם המאפשר במודע כי ייעשה בו שימוש כ</w:t>
      </w:r>
      <w:r>
        <w:rPr>
          <w:rFonts w:cs="Arial (W1);Arial" w:ascii="Arial (W1);Arial" w:hAnsi="Arial (W1);Arial"/>
          <w:b/>
          <w:bCs/>
          <w:rtl w:val="true"/>
        </w:rPr>
        <w:t>"</w:t>
      </w:r>
      <w:r>
        <w:rPr>
          <w:rFonts w:ascii="Arial (W1);Arial" w:hAnsi="Arial (W1);Arial" w:cs="Arial (W1);Arial"/>
          <w:b/>
          <w:b/>
          <w:bCs/>
          <w:rtl w:val="true"/>
        </w:rPr>
        <w:t>איש קש</w:t>
      </w:r>
      <w:r>
        <w:rPr>
          <w:rFonts w:cs="Arial (W1);Arial" w:ascii="Arial (W1);Arial" w:hAnsi="Arial (W1);Arial"/>
          <w:b/>
          <w:bCs/>
          <w:rtl w:val="true"/>
        </w:rPr>
        <w:t xml:space="preserve">", </w:t>
      </w:r>
      <w:r>
        <w:rPr>
          <w:rFonts w:ascii="Arial (W1);Arial" w:hAnsi="Arial (W1);Arial" w:cs="Arial (W1);Arial"/>
          <w:b/>
          <w:b/>
          <w:bCs/>
          <w:rtl w:val="true"/>
        </w:rPr>
        <w:t>היינו עומד בחזית העבירה על מנת שאליו תופנה האצבע המאשימה</w:t>
      </w:r>
      <w:r>
        <w:rPr>
          <w:rFonts w:cs="Arial (W1);Arial" w:ascii="Arial (W1);Arial" w:hAnsi="Arial (W1);Arial"/>
          <w:b/>
          <w:bCs/>
          <w:rtl w:val="true"/>
        </w:rPr>
        <w:t xml:space="preserve">, </w:t>
      </w:r>
      <w:r>
        <w:rPr>
          <w:rFonts w:ascii="Arial (W1);Arial" w:hAnsi="Arial (W1);Arial" w:cs="Arial (W1);Arial"/>
          <w:b/>
          <w:b/>
          <w:bCs/>
          <w:rtl w:val="true"/>
        </w:rPr>
        <w:t>מה לו כי ילין על ש</w:t>
      </w:r>
      <w:r>
        <w:rPr>
          <w:rFonts w:cs="Arial (W1);Arial" w:ascii="Arial (W1);Arial" w:hAnsi="Arial (W1);Arial"/>
          <w:b/>
          <w:bCs/>
          <w:rtl w:val="true"/>
        </w:rPr>
        <w:t>"</w:t>
      </w:r>
      <w:r>
        <w:rPr>
          <w:rFonts w:ascii="Arial (W1);Arial" w:hAnsi="Arial (W1);Arial" w:cs="Arial (W1);Arial"/>
          <w:b/>
          <w:b/>
          <w:bCs/>
          <w:rtl w:val="true"/>
        </w:rPr>
        <w:t>תכניתו</w:t>
      </w:r>
      <w:r>
        <w:rPr>
          <w:rFonts w:cs="Arial (W1);Arial" w:ascii="Arial (W1);Arial" w:hAnsi="Arial (W1);Arial"/>
          <w:b/>
          <w:bCs/>
          <w:rtl w:val="true"/>
        </w:rPr>
        <w:t xml:space="preserve">" </w:t>
      </w:r>
      <w:r>
        <w:rPr>
          <w:rFonts w:ascii="Arial (W1);Arial" w:hAnsi="Arial (W1);Arial" w:cs="Arial (W1);Arial"/>
          <w:b/>
          <w:b/>
          <w:bCs/>
          <w:rtl w:val="true"/>
        </w:rPr>
        <w:t>התגשמה</w:t>
      </w:r>
      <w:r>
        <w:rPr>
          <w:rFonts w:cs="Arial (W1);Arial" w:ascii="Arial (W1);Arial" w:hAnsi="Arial (W1);Arial"/>
          <w:b/>
          <w:bCs/>
          <w:rtl w:val="true"/>
        </w:rPr>
        <w:t>?</w:t>
      </w:r>
      <w:r>
        <w:rPr>
          <w:rFonts w:cs="Arial (W1);Arial" w:ascii="Arial (W1);Arial" w:hAnsi="Arial (W1);Arial"/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  <w:t>(</w:t>
      </w:r>
      <w:r>
        <w:rPr>
          <w:rFonts w:ascii="Arial (W1);Arial" w:hAnsi="Arial (W1);Arial" w:cs="Arial (W1);Arial"/>
          <w:rtl w:val="true"/>
        </w:rPr>
        <w:t>ההדגשה לא במקור</w:t>
      </w:r>
      <w:r>
        <w:rPr>
          <w:rFonts w:cs="Arial (W1);Arial" w:ascii="Arial (W1);Arial" w:hAnsi="Arial (W1);Arial"/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בעת קביעת העונש המתאים בתוך מתחם העונש ההולם שעליו הסכימו הצדדים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פרוט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10.9.20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לקחתי בחשבון</w:t>
      </w:r>
      <w:r>
        <w:rPr>
          <w:rFonts w:ascii="Arial" w:hAnsi="Arial" w:cs="Arial"/>
          <w:u w:val="single"/>
          <w:rtl w:val="true"/>
        </w:rPr>
        <w:t xml:space="preserve"> לקולא</w:t>
      </w:r>
      <w:r>
        <w:rPr>
          <w:rFonts w:ascii="Arial" w:hAnsi="Arial" w:cs="Arial"/>
          <w:rtl w:val="true"/>
        </w:rPr>
        <w:t xml:space="preserve">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היותו של הנאשם נשוי ואב לילדה קטנה ומשמש כמפרנס יחיד לבני משפחתו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הודאה וחיסכון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שהנאשם לא הסיר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באופן חלקי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המחדל שנובע מהעבירות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בסכום משמעותי שנגזל מהקופה הציבורית ויש לתת לכך ביטוי במסגרת הענישה שיש להשית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יבצע עבירת מס מסוג פשע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1.4.21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8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8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7870-10-17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חוזיפה אבו סחאב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84255" TargetMode="External"/><Relationship Id="rId4" Type="http://schemas.openxmlformats.org/officeDocument/2006/relationships/hyperlink" Target="http://www.nevo.co.il/law/72813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case/23766014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case/5977249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84255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2021-02-07T09:18:00Z</dcterms:created>
  <dc:creator> </dc:creator>
  <dc:description/>
  <cp:keywords/>
  <dc:language>en-IL</dc:language>
  <cp:lastModifiedBy>h10</cp:lastModifiedBy>
  <dcterms:modified xsi:type="dcterms:W3CDTF">2021-02-07T09:18:00Z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חוזיפה אבו סחאב</vt:lpwstr>
  </property>
  <property fmtid="{D5CDD505-2E9C-101B-9397-08002B2CF9AE}" pid="4" name="CASESLISTTMP1">
    <vt:lpwstr>23766014;5977249</vt:lpwstr>
  </property>
  <property fmtid="{D5CDD505-2E9C-101B-9397-08002B2CF9AE}" pid="5" name="CITY">
    <vt:lpwstr>רמ'</vt:lpwstr>
  </property>
  <property fmtid="{D5CDD505-2E9C-101B-9397-08002B2CF9AE}" pid="6" name="DATE">
    <vt:lpwstr>20210131</vt:lpwstr>
  </property>
  <property fmtid="{D5CDD505-2E9C-101B-9397-08002B2CF9AE}" pid="7" name="JUDGE">
    <vt:lpwstr>הישאם אבו שחאדה</vt:lpwstr>
  </property>
  <property fmtid="{D5CDD505-2E9C-101B-9397-08002B2CF9AE}" pid="8" name="LAWLISTTMP1">
    <vt:lpwstr>72813:5</vt:lpwstr>
  </property>
  <property fmtid="{D5CDD505-2E9C-101B-9397-08002B2CF9AE}" pid="9" name="LAWLISTTMP2">
    <vt:lpwstr>84255</vt:lpwstr>
  </property>
  <property fmtid="{D5CDD505-2E9C-101B-9397-08002B2CF9AE}" pid="10" name="LAWYER">
    <vt:lpwstr>מדינת;מרב יולי;חוזיפה אבו;ערן חסיד</vt:lpwstr>
  </property>
  <property fmtid="{D5CDD505-2E9C-101B-9397-08002B2CF9AE}" pid="11" name="NEWPARTA">
    <vt:lpwstr>7870</vt:lpwstr>
  </property>
  <property fmtid="{D5CDD505-2E9C-101B-9397-08002B2CF9AE}" pid="12" name="NEWPARTB">
    <vt:lpwstr>10</vt:lpwstr>
  </property>
  <property fmtid="{D5CDD505-2E9C-101B-9397-08002B2CF9AE}" pid="13" name="NEWPARTC">
    <vt:lpwstr>17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380020210131</vt:lpwstr>
  </property>
  <property fmtid="{D5CDD505-2E9C-101B-9397-08002B2CF9AE}" pid="18" name="TYPE_N_DATE">
    <vt:lpwstr>38020210131</vt:lpwstr>
  </property>
  <property fmtid="{D5CDD505-2E9C-101B-9397-08002B2CF9AE}" pid="19" name="WORDNUMPAGES">
    <vt:lpwstr>4</vt:lpwstr>
  </property>
</Properties>
</file>