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7996-08-16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מרדכי כדורי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הנשיא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מאהר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אחר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נוסף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66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הרקע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רופפת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המטבח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1/8/2016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תמצית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ה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והבריאותיות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יחשוש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לחילופין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שנבחנו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ואבהיר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22/2/2007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ההדרגתית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לדוגמא</w:t>
      </w:r>
      <w:r>
        <w:rPr>
          <w:rFonts w:cs="Calibri" w:ascii="Calibri" w:hAnsi="Calibri"/>
          <w:rtl w:val="true"/>
        </w:rPr>
        <w:t xml:space="preserve">: </w:t>
      </w:r>
      <w:hyperlink r:id="rId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8/3/2017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9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30/12/2009</w:t>
      </w:r>
      <w:r>
        <w:rPr>
          <w:rFonts w:cs="Calibri" w:ascii="Calibri" w:hAnsi="Calibri"/>
          <w:rtl w:val="true"/>
        </w:rPr>
        <w:t xml:space="preserve">, </w:t>
      </w:r>
      <w:hyperlink r:id="rId10">
        <w:r>
          <w:rPr>
            <w:rStyle w:val="Hyperlink"/>
            <w:rFonts w:ascii="Calibri" w:hAnsi="Calibri" w:cs="Calibri"/>
            <w:rtl w:val="true"/>
          </w:rPr>
          <w:t>רע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5921/08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6/5/2009</w:t>
      </w:r>
      <w:r>
        <w:rPr>
          <w:rFonts w:cs="Calibri" w:ascii="Calibri" w:hAnsi="Calibri"/>
          <w:rtl w:val="true"/>
        </w:rPr>
        <w:t xml:space="preserve">, </w:t>
      </w:r>
      <w:hyperlink r:id="rId11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7955/06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1/1/2007</w:t>
      </w:r>
      <w:r>
        <w:rPr>
          <w:rFonts w:cs="Calibri" w:ascii="Calibri" w:hAnsi="Calibri"/>
          <w:rtl w:val="true"/>
        </w:rPr>
        <w:t xml:space="preserve">, </w:t>
      </w:r>
      <w:hyperlink r:id="rId12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>. 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13999-11-16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טרבייה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2/3/2017</w:t>
      </w:r>
      <w:r>
        <w:rPr>
          <w:rFonts w:cs="Calibri" w:ascii="Calibri" w:hAnsi="Calibri"/>
          <w:rtl w:val="true"/>
        </w:rPr>
        <w:t xml:space="preserve">, </w:t>
      </w:r>
      <w:hyperlink r:id="rId1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4318-10-11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רפאלוב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5/1/2012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207/08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בלטי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2/11/2008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22065/09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ריאד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26/10/2009</w:t>
      </w:r>
      <w:r>
        <w:rPr>
          <w:rFonts w:cs="Calibri" w:ascii="Calibri" w:hAnsi="Calibri"/>
          <w:rtl w:val="true"/>
        </w:rPr>
        <w:t xml:space="preserve">, </w:t>
      </w:r>
      <w:hyperlink r:id="rId14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4206-01-09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עלוואי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3/3/2010</w:t>
      </w:r>
      <w:r>
        <w:rPr>
          <w:rFonts w:cs="Calibri" w:ascii="Calibri" w:hAnsi="Calibri"/>
          <w:rtl w:val="true"/>
        </w:rPr>
        <w:t xml:space="preserve">, </w:t>
      </w:r>
      <w:hyperlink r:id="rId15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10774-06-09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21/10/2009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</w:t>
      </w:r>
      <w:r>
        <w:rPr>
          <w:rFonts w:cs="Calibri" w:ascii="Calibri" w:hAnsi="Calibri"/>
          <w:rtl w:val="true"/>
        </w:rPr>
        <w:t xml:space="preserve">') </w:t>
      </w:r>
      <w:r>
        <w:rPr>
          <w:rFonts w:cs="Calibri" w:ascii="Calibri" w:hAnsi="Calibri"/>
        </w:rPr>
        <w:t>134/09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אמין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3/11/2009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</w:t>
      </w:r>
      <w:r>
        <w:rPr>
          <w:rFonts w:cs="Calibri" w:ascii="Calibri" w:hAnsi="Calibri"/>
          <w:rtl w:val="true"/>
        </w:rPr>
        <w:t xml:space="preserve">') </w:t>
      </w:r>
      <w:r>
        <w:rPr>
          <w:rFonts w:cs="Calibri" w:ascii="Calibri" w:hAnsi="Calibri"/>
        </w:rPr>
        <w:t>1074/07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</w:rPr>
        <w:t>6/3/2008</w:t>
      </w:r>
      <w:r>
        <w:rPr>
          <w:rFonts w:cs="Calibri" w:ascii="Calibri" w:hAnsi="Calibri"/>
          <w:rtl w:val="true"/>
        </w:rPr>
        <w:t xml:space="preserve">, </w:t>
      </w:r>
      <w:hyperlink r:id="rId16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11877-07-09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26/11/2009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6924/12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בעארני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29/10/2013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בקיזוז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1/8/2016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25/8/2016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7/5/2017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9:30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1/5/207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7996-08-16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מאהר אבו זיאד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Style12">
    <w:name w:val="כותרת תחתונה תו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22006503" TargetMode="External"/><Relationship Id="rId9" Type="http://schemas.openxmlformats.org/officeDocument/2006/relationships/hyperlink" Target="http://www.nevo.co.il/case/6000182" TargetMode="External"/><Relationship Id="rId10" Type="http://schemas.openxmlformats.org/officeDocument/2006/relationships/hyperlink" Target="http://www.nevo.co.il/case/6040482" TargetMode="External"/><Relationship Id="rId11" Type="http://schemas.openxmlformats.org/officeDocument/2006/relationships/hyperlink" Target="http://www.nevo.co.il/case/6104546" TargetMode="External"/><Relationship Id="rId12" Type="http://schemas.openxmlformats.org/officeDocument/2006/relationships/hyperlink" Target="http://www.nevo.co.il/case/21966952" TargetMode="External"/><Relationship Id="rId13" Type="http://schemas.openxmlformats.org/officeDocument/2006/relationships/hyperlink" Target="http://www.nevo.co.il/case/2894643" TargetMode="External"/><Relationship Id="rId14" Type="http://schemas.openxmlformats.org/officeDocument/2006/relationships/hyperlink" Target="http://www.nevo.co.il/case/5499066" TargetMode="External"/><Relationship Id="rId15" Type="http://schemas.openxmlformats.org/officeDocument/2006/relationships/hyperlink" Target="http://www.nevo.co.il/case/4687681" TargetMode="External"/><Relationship Id="rId16" Type="http://schemas.openxmlformats.org/officeDocument/2006/relationships/hyperlink" Target="http://www.nevo.co.il/case/4772529" TargetMode="External"/><Relationship Id="rId17" Type="http://schemas.openxmlformats.org/officeDocument/2006/relationships/hyperlink" Target="http://www.nevo.co.il/case/5580733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2017-04-24T12:18:00Z</dcterms:created>
  <dc:creator> </dc:creator>
  <dc:description/>
  <cp:keywords/>
  <dc:language>en-IL</dc:language>
  <cp:lastModifiedBy>run</cp:lastModifiedBy>
  <dcterms:modified xsi:type="dcterms:W3CDTF">2017-04-24T12:18:00Z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מאהר אבו זיאד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ProcID=135&amp;PartA=22065&amp;PartC=09</vt:lpwstr>
  </property>
  <property fmtid="{D5CDD505-2E9C-101B-9397-08002B2CF9AE}" pid="9" name="CASENOTES2">
    <vt:lpwstr>ProcID=209&amp;PartA=207&amp;PartC=08</vt:lpwstr>
  </property>
  <property fmtid="{D5CDD505-2E9C-101B-9397-08002B2CF9AE}" pid="10" name="CASENOTES3">
    <vt:lpwstr>ProcID=209&amp;PartA=134&amp;PartC=09</vt:lpwstr>
  </property>
  <property fmtid="{D5CDD505-2E9C-101B-9397-08002B2CF9AE}" pid="11" name="CASENOTES4">
    <vt:lpwstr>ProcID=209&amp;PartA=1074&amp;PartC=07</vt:lpwstr>
  </property>
  <property fmtid="{D5CDD505-2E9C-101B-9397-08002B2CF9AE}" pid="12" name="CASESLISTTMP1">
    <vt:lpwstr>5724364;22006503;6000182;6040482;6104546;21966952;2894643;5499066;4687681;4772529;5580733</vt:lpwstr>
  </property>
  <property fmtid="{D5CDD505-2E9C-101B-9397-08002B2CF9AE}" pid="13" name="CITY">
    <vt:lpwstr>י-ם</vt:lpwstr>
  </property>
  <property fmtid="{D5CDD505-2E9C-101B-9397-08002B2CF9AE}" pid="14" name="DATE">
    <vt:lpwstr>20170420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מרדכי כדורי</vt:lpwstr>
  </property>
  <property fmtid="{D5CDD505-2E9C-101B-9397-08002B2CF9AE}" pid="18" name="LAWLISTTMP1">
    <vt:lpwstr>70301/144.a;144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7996</vt:lpwstr>
  </property>
  <property fmtid="{D5CDD505-2E9C-101B-9397-08002B2CF9AE}" pid="26" name="NEWPARTB">
    <vt:lpwstr>08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380020170420</vt:lpwstr>
  </property>
  <property fmtid="{D5CDD505-2E9C-101B-9397-08002B2CF9AE}" pid="38" name="TYPE_N_DATE">
    <vt:lpwstr>38020170420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