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 xml:space="preserve">בית משפט השלום בתל אביב </w:t>
            </w: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8056-08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מדור תביעות פלילי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דנן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פברואר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Style12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הדסה נאור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Style12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גולן דנן</w:t>
            </w:r>
          </w:p>
        </w:tc>
      </w:tr>
    </w:tbl>
    <w:p>
      <w:pPr>
        <w:pStyle w:val="Style12"/>
        <w:ind w:end="0"/>
        <w:jc w:val="both"/>
        <w:rPr/>
      </w:pPr>
      <w:r>
        <w:rPr>
          <w:rtl w:val="true"/>
        </w:rPr>
      </w:r>
    </w:p>
    <w:p>
      <w:pPr>
        <w:pStyle w:val="Style12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bookmarkStart w:id="2" w:name="FirstLawyer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 המאשימה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מוטי רייזמן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הנאשם בעצמו</w:t>
      </w:r>
    </w:p>
    <w:p>
      <w:pPr>
        <w:pStyle w:val="12"/>
        <w:ind w:end="0"/>
        <w:jc w:val="start"/>
        <w:rPr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כ הנאשם עו</w:t>
      </w:r>
      <w:r>
        <w:rPr>
          <w:b w:val="false"/>
          <w:bCs w:val="false"/>
          <w:sz w:val="26"/>
          <w:szCs w:val="26"/>
          <w:u w:val="none"/>
          <w:rtl w:val="true"/>
        </w:rPr>
        <w:t>"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ד רינסקי</w:t>
      </w:r>
    </w:p>
    <w:p>
      <w:pPr>
        <w:pStyle w:val="Heading"/>
        <w:spacing w:lineRule="auto" w:line="360"/>
        <w:ind w:end="0"/>
        <w:jc w:val="center"/>
        <w:rPr>
          <w:rFonts w:ascii="Arial" w:hAnsi="Arial" w:eastAsia="David" w:cs="Arial"/>
          <w:b w:val="false"/>
          <w:bCs w:val="false"/>
          <w:sz w:val="26"/>
          <w:szCs w:val="26"/>
          <w:u w:val="none"/>
          <w:lang w:eastAsia="en-US"/>
        </w:rPr>
      </w:pPr>
      <w:r>
        <w:rPr>
          <w:rFonts w:eastAsia="David" w:cs="Arial" w:ascii="Arial" w:hAnsi="Arial"/>
          <w:b w:val="false"/>
          <w:bCs w:val="false"/>
          <w:sz w:val="26"/>
          <w:szCs w:val="26"/>
          <w:u w:val="none"/>
          <w:rtl w:val="true"/>
          <w:lang w:eastAsia="en-US"/>
        </w:rPr>
      </w:r>
    </w:p>
    <w:p>
      <w:pPr>
        <w:pStyle w:val="Heading"/>
        <w:spacing w:lineRule="auto" w:line="360"/>
        <w:ind w:end="0"/>
        <w:jc w:val="center"/>
        <w:rPr>
          <w:rFonts w:ascii="Arial" w:hAnsi="Arial" w:eastAsia="David" w:cs="Arial"/>
          <w:lang w:eastAsia="en-US"/>
        </w:rPr>
      </w:pPr>
      <w:bookmarkStart w:id="3" w:name="PsakDin"/>
      <w:bookmarkEnd w:id="3"/>
      <w:r>
        <w:rPr>
          <w:rFonts w:ascii="Arial" w:hAnsi="Arial" w:eastAsia="David" w:cs="Arial"/>
          <w:rtl w:val="true"/>
          <w:lang w:eastAsia="en-US"/>
        </w:rPr>
        <w:t>הכרעת דין</w:t>
      </w:r>
    </w:p>
    <w:p>
      <w:pPr>
        <w:pStyle w:val="BodyText"/>
        <w:spacing w:lineRule="auto" w:line="360"/>
        <w:ind w:end="0"/>
        <w:jc w:val="both"/>
        <w:rPr>
          <w:b/>
          <w:bCs/>
          <w:sz w:val="26"/>
          <w:szCs w:val="26"/>
        </w:rPr>
      </w:pPr>
      <w:bookmarkStart w:id="4" w:name="PsakDin"/>
      <w:bookmarkEnd w:id="4"/>
      <w:r>
        <w:rPr>
          <w:b/>
          <w:b/>
          <w:bCs/>
          <w:sz w:val="26"/>
          <w:sz w:val="26"/>
          <w:szCs w:val="26"/>
          <w:rtl w:val="true"/>
        </w:rPr>
        <w:t xml:space="preserve">על יסוד הודאת </w:t>
      </w:r>
      <w:r>
        <w:rPr>
          <w:b/>
          <w:b/>
          <w:bCs/>
          <w:sz w:val="26"/>
          <w:sz w:val="26"/>
          <w:szCs w:val="26"/>
          <w:rtl w:val="true"/>
        </w:rPr>
        <w:t>הנאשם בעובדות כתב האישום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אני מרשיעה אותו בעבירות כדלקמן</w:t>
      </w:r>
      <w:r>
        <w:rPr>
          <w:b/>
          <w:bCs/>
          <w:sz w:val="26"/>
          <w:szCs w:val="26"/>
          <w:rtl w:val="true"/>
        </w:rPr>
        <w:t>:</w:t>
      </w:r>
      <w:r>
        <w:rPr>
          <w:b/>
          <w:bCs/>
          <w:sz w:val="26"/>
          <w:szCs w:val="26"/>
          <w:rtl w:val="true"/>
        </w:rPr>
        <w:t xml:space="preserve"> </w:t>
      </w:r>
    </w:p>
    <w:p>
      <w:pPr>
        <w:pStyle w:val="BodyText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/>
          <w:bCs/>
          <w:sz w:val="26"/>
          <w:sz w:val="26"/>
          <w:szCs w:val="26"/>
          <w:rtl w:val="true"/>
        </w:rPr>
        <w:t>עביר</w:t>
      </w:r>
      <w:r>
        <w:rPr>
          <w:b/>
          <w:b/>
          <w:bCs/>
          <w:sz w:val="26"/>
          <w:sz w:val="26"/>
          <w:szCs w:val="26"/>
          <w:rtl w:val="true"/>
        </w:rPr>
        <w:t>ה של חבלה במזיד ברכב</w:t>
      </w:r>
      <w:r>
        <w:rPr>
          <w:b/>
          <w:bCs/>
          <w:sz w:val="26"/>
          <w:szCs w:val="26"/>
          <w:rtl w:val="true"/>
        </w:rPr>
        <w:t>,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פי </w:t>
      </w:r>
      <w:r>
        <w:rPr>
          <w:b/>
          <w:b/>
          <w:bCs/>
          <w:sz w:val="26"/>
          <w:sz w:val="26"/>
          <w:szCs w:val="26"/>
          <w:rtl w:val="true"/>
        </w:rPr>
        <w:t>סעי</w:t>
      </w:r>
      <w:r>
        <w:rPr>
          <w:b/>
          <w:b/>
          <w:bCs/>
          <w:sz w:val="26"/>
          <w:sz w:val="26"/>
          <w:szCs w:val="26"/>
          <w:rtl w:val="true"/>
        </w:rPr>
        <w:t xml:space="preserve">ף </w:t>
      </w:r>
      <w:r>
        <w:rPr>
          <w:b/>
          <w:bCs/>
          <w:sz w:val="26"/>
          <w:szCs w:val="26"/>
        </w:rPr>
        <w:t>413</w:t>
      </w:r>
      <w:r>
        <w:rPr>
          <w:b/>
          <w:b/>
          <w:bCs/>
          <w:sz w:val="26"/>
          <w:sz w:val="26"/>
          <w:szCs w:val="26"/>
          <w:rtl w:val="true"/>
        </w:rPr>
        <w:t>ה ל</w:t>
      </w:r>
      <w:hyperlink r:id="rId2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תשל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ז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1977</w:t>
      </w:r>
      <w:r>
        <w:rPr>
          <w:b/>
          <w:bCs/>
          <w:sz w:val="26"/>
          <w:szCs w:val="26"/>
          <w:rtl w:val="true"/>
        </w:rPr>
        <w:t xml:space="preserve"> (</w:t>
      </w:r>
      <w:r>
        <w:rPr>
          <w:b/>
          <w:b/>
          <w:bCs/>
          <w:sz w:val="26"/>
          <w:sz w:val="26"/>
          <w:szCs w:val="26"/>
          <w:rtl w:val="true"/>
        </w:rPr>
        <w:t>להלן החוק</w:t>
      </w:r>
      <w:r>
        <w:rPr>
          <w:b/>
          <w:bCs/>
          <w:sz w:val="26"/>
          <w:szCs w:val="26"/>
          <w:rtl w:val="true"/>
        </w:rPr>
        <w:t xml:space="preserve">). </w:t>
      </w:r>
    </w:p>
    <w:p>
      <w:pPr>
        <w:pStyle w:val="BodyText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בעבירה של גניבה מרכב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על פי סעיף </w:t>
      </w:r>
      <w:r>
        <w:rPr>
          <w:b/>
          <w:bCs/>
          <w:sz w:val="26"/>
          <w:szCs w:val="26"/>
        </w:rPr>
        <w:t>413</w:t>
      </w:r>
      <w:r>
        <w:rPr>
          <w:b/>
          <w:b/>
          <w:bCs/>
          <w:sz w:val="26"/>
          <w:sz w:val="26"/>
          <w:szCs w:val="26"/>
          <w:rtl w:val="true"/>
        </w:rPr>
        <w:t>ד</w:t>
      </w:r>
      <w:r>
        <w:rPr>
          <w:b/>
          <w:bCs/>
          <w:sz w:val="26"/>
          <w:szCs w:val="26"/>
          <w:rtl w:val="true"/>
        </w:rPr>
        <w:t>(</w:t>
      </w:r>
      <w:r>
        <w:rPr>
          <w:b/>
          <w:b/>
          <w:bCs/>
          <w:sz w:val="26"/>
          <w:sz w:val="26"/>
          <w:szCs w:val="26"/>
          <w:rtl w:val="true"/>
        </w:rPr>
        <w:t>א</w:t>
      </w:r>
      <w:r>
        <w:rPr>
          <w:b/>
          <w:bCs/>
          <w:sz w:val="26"/>
          <w:szCs w:val="26"/>
          <w:rtl w:val="true"/>
        </w:rPr>
        <w:t xml:space="preserve">) </w:t>
      </w:r>
      <w:r>
        <w:rPr>
          <w:b/>
          <w:b/>
          <w:bCs/>
          <w:sz w:val="26"/>
          <w:sz w:val="26"/>
          <w:szCs w:val="26"/>
          <w:rtl w:val="true"/>
        </w:rPr>
        <w:t>לחוק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BodyText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BodyText"/>
        <w:spacing w:lineRule="auto" w:line="360"/>
        <w:ind w:end="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 xml:space="preserve">. </w:t>
      </w:r>
      <w:r>
        <w:rPr>
          <w:b/>
          <w:b/>
          <w:bCs/>
          <w:sz w:val="26"/>
          <w:sz w:val="26"/>
          <w:szCs w:val="26"/>
          <w:rtl w:val="true"/>
        </w:rPr>
        <w:t>בעבירה של פריצה לרכב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על פי סעיף </w:t>
      </w:r>
      <w:r>
        <w:rPr>
          <w:b/>
          <w:bCs/>
          <w:sz w:val="26"/>
          <w:szCs w:val="26"/>
        </w:rPr>
        <w:t>413</w:t>
      </w:r>
      <w:r>
        <w:rPr>
          <w:b/>
          <w:b/>
          <w:bCs/>
          <w:sz w:val="26"/>
          <w:sz w:val="26"/>
          <w:szCs w:val="26"/>
          <w:rtl w:val="true"/>
        </w:rPr>
        <w:t>ו סיפא לחוק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Heading1"/>
        <w:ind w:hanging="0" w:start="0" w:end="0"/>
        <w:jc w:val="start"/>
        <w:rPr>
          <w:b w:val="false"/>
          <w:bCs w:val="false"/>
          <w:sz w:val="28"/>
          <w:szCs w:val="30"/>
        </w:rPr>
      </w:pPr>
      <w:r>
        <w:rPr>
          <w:b w:val="false"/>
          <w:bCs w:val="false"/>
          <w:sz w:val="28"/>
          <w:szCs w:val="30"/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bookmarkStart w:id="5" w:name="ABSTRACT_START"/>
      <w:bookmarkEnd w:id="5"/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/>
          <w:bCs/>
          <w:sz w:val="26"/>
          <w:sz w:val="26"/>
          <w:szCs w:val="26"/>
          <w:rtl w:val="true"/>
        </w:rPr>
        <w:t xml:space="preserve"> הורשע על פי הודאתו בעבירות </w:t>
      </w:r>
      <w:r>
        <w:rPr>
          <w:b/>
          <w:b/>
          <w:bCs/>
          <w:sz w:val="26"/>
          <w:sz w:val="26"/>
          <w:szCs w:val="26"/>
          <w:rtl w:val="true"/>
        </w:rPr>
        <w:t>של חבלה במזיד ברכב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פריצה לרכב וגניבה מרכב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כל המעשים בוצעו על ידו בתאריך </w:t>
      </w:r>
      <w:r>
        <w:rPr>
          <w:b/>
          <w:bCs/>
          <w:sz w:val="26"/>
          <w:szCs w:val="26"/>
        </w:rPr>
        <w:t>6.3.06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  <w:bookmarkStart w:id="6" w:name="ABSTRACT_END"/>
      <w:bookmarkStart w:id="7" w:name="ABSTRACT_END"/>
      <w:bookmarkEnd w:id="7"/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 xml:space="preserve">הנאשם ביצע את העבירה כשמאסר על תנאי של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 היה תלוי ועומד כנגדו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כל אלה היו אמורים להוביל להחלטה להשית על הנאשם מאסר בפועל תוך הפעלת המאסר המותנה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עם זאת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המאשימה הגיעה להסדר טיעון מקל עם 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במסגרתו עתרה במשותף עם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כ הנאשם להאריך את המאסר על תנאי ולהשית עליו קנס סמלי בסך </w:t>
      </w:r>
      <w:r>
        <w:rPr>
          <w:b/>
          <w:bCs/>
          <w:sz w:val="26"/>
          <w:szCs w:val="26"/>
        </w:rPr>
        <w:t>250</w:t>
      </w:r>
      <w:r>
        <w:rPr>
          <w:b/>
          <w:bCs/>
          <w:sz w:val="26"/>
          <w:szCs w:val="26"/>
          <w:rtl w:val="true"/>
        </w:rPr>
        <w:t xml:space="preserve"> ₪ </w:t>
      </w:r>
      <w:r>
        <w:rPr>
          <w:b/>
          <w:b/>
          <w:bCs/>
          <w:sz w:val="26"/>
          <w:sz w:val="26"/>
          <w:szCs w:val="26"/>
          <w:rtl w:val="true"/>
        </w:rPr>
        <w:t xml:space="preserve">ופיצוי בסך </w:t>
      </w:r>
      <w:r>
        <w:rPr>
          <w:b/>
          <w:bCs/>
          <w:sz w:val="26"/>
          <w:szCs w:val="26"/>
        </w:rPr>
        <w:t>500</w:t>
      </w:r>
      <w:r>
        <w:rPr>
          <w:b/>
          <w:bCs/>
          <w:sz w:val="26"/>
          <w:szCs w:val="26"/>
          <w:rtl w:val="true"/>
        </w:rPr>
        <w:t xml:space="preserve"> ₪.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הנימוקים שעמדו לנגד המאשימה בהגיעה להסדר זה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היו קשיים ראייתיים וחלוף הזמן מאז ביצוע העבירה עד הגשת כתב האישום ועד 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הנאשם אף הוסיפה כי מאז ביצוע העבירה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קרי ב</w:t>
      </w:r>
      <w:r>
        <w:rPr>
          <w:b/>
          <w:bCs/>
          <w:sz w:val="26"/>
          <w:szCs w:val="26"/>
          <w:rtl w:val="true"/>
        </w:rPr>
        <w:t>-</w:t>
      </w:r>
      <w:r>
        <w:rPr>
          <w:b/>
          <w:bCs/>
          <w:sz w:val="26"/>
          <w:szCs w:val="26"/>
        </w:rPr>
        <w:t>4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שנים האחרונות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שינה הנאשם את אורחות חייו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נישא ועובד לפרנסתו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ככל שהדבר מתאפשר לו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אף כי אני סבורה שגם בנסיבות המתוארות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הן על ידי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המאשימה והן על ידי ב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כ הנאשם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העונש המוצע מקל מעבר לנדרש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לא אסטה ממנו לאור הלכת פלוני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בשוקלי</w:t>
      </w:r>
      <w:r>
        <w:rPr>
          <w:b/>
          <w:b/>
          <w:bCs/>
          <w:sz w:val="26"/>
          <w:sz w:val="26"/>
          <w:szCs w:val="26"/>
          <w:rtl w:val="true"/>
        </w:rPr>
        <w:t xml:space="preserve"> את נסיבות המקרה ואת טיעוני הצדדים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אני מטילה </w:t>
      </w:r>
      <w:r>
        <w:rPr>
          <w:b/>
          <w:b/>
          <w:bCs/>
          <w:sz w:val="26"/>
          <w:sz w:val="26"/>
          <w:szCs w:val="26"/>
          <w:rtl w:val="true"/>
        </w:rPr>
        <w:t>על</w:t>
      </w:r>
      <w:r>
        <w:rPr>
          <w:b/>
          <w:b/>
          <w:bCs/>
          <w:sz w:val="26"/>
          <w:sz w:val="26"/>
          <w:szCs w:val="26"/>
          <w:rtl w:val="true"/>
        </w:rPr>
        <w:t xml:space="preserve"> הנאשם את העונשים הבאים</w:t>
      </w:r>
      <w:r>
        <w:rPr>
          <w:b/>
          <w:bCs/>
          <w:sz w:val="26"/>
          <w:szCs w:val="26"/>
          <w:rtl w:val="true"/>
        </w:rPr>
        <w:t xml:space="preserve">: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</w:t>
      </w:r>
      <w:r>
        <w:rPr>
          <w:b/>
          <w:bCs/>
          <w:sz w:val="26"/>
          <w:szCs w:val="26"/>
          <w:rtl w:val="true"/>
        </w:rPr>
        <w:t xml:space="preserve">. </w:t>
        <w:tab/>
      </w:r>
      <w:r>
        <w:rPr>
          <w:b/>
          <w:b/>
          <w:bCs/>
          <w:sz w:val="26"/>
          <w:sz w:val="26"/>
          <w:szCs w:val="26"/>
          <w:rtl w:val="true"/>
        </w:rPr>
        <w:t xml:space="preserve">אני מאריכה את המאסר על תנאי בן </w:t>
      </w:r>
      <w:r>
        <w:rPr>
          <w:b/>
          <w:bCs/>
          <w:sz w:val="26"/>
          <w:szCs w:val="26"/>
        </w:rPr>
        <w:t>8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חודשים מ</w:t>
      </w:r>
      <w:hyperlink r:id="rId3"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>ת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  <w:rtl w:val="true"/>
          </w:rPr>
          <w:t>.</w:t>
        </w:r>
        <w:r>
          <w:rPr>
            <w:rStyle w:val="Hyperlink"/>
            <w:b/>
            <w:b/>
            <w:bCs/>
            <w:color w:val="0000FF"/>
            <w:sz w:val="26"/>
            <w:sz w:val="26"/>
            <w:szCs w:val="26"/>
            <w:u w:val="single"/>
            <w:rtl w:val="true"/>
          </w:rPr>
          <w:t xml:space="preserve">פ </w:t>
        </w:r>
        <w:r>
          <w:rPr>
            <w:rStyle w:val="Hyperlink"/>
            <w:b/>
            <w:bCs/>
            <w:color w:val="0000FF"/>
            <w:sz w:val="26"/>
            <w:szCs w:val="26"/>
            <w:u w:val="single"/>
          </w:rPr>
          <w:t>1739/05</w:t>
        </w:r>
      </w:hyperlink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בשנתיים נוספות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</w:t>
      </w:r>
      <w:r>
        <w:rPr>
          <w:b/>
          <w:bCs/>
          <w:sz w:val="26"/>
          <w:szCs w:val="26"/>
          <w:rtl w:val="true"/>
        </w:rPr>
        <w:t>.</w:t>
      </w:r>
      <w:r>
        <w:rPr>
          <w:b/>
          <w:bCs/>
          <w:sz w:val="26"/>
          <w:szCs w:val="26"/>
          <w:rtl w:val="true"/>
        </w:rPr>
        <w:tab/>
      </w:r>
      <w:r>
        <w:rPr>
          <w:b/>
          <w:b/>
          <w:bCs/>
          <w:sz w:val="26"/>
          <w:sz w:val="26"/>
          <w:szCs w:val="26"/>
          <w:rtl w:val="true"/>
        </w:rPr>
        <w:t>הנאשם</w:t>
      </w:r>
      <w:r>
        <w:rPr>
          <w:b/>
          <w:b/>
          <w:bCs/>
          <w:sz w:val="26"/>
          <w:sz w:val="26"/>
          <w:szCs w:val="26"/>
          <w:rtl w:val="true"/>
        </w:rPr>
        <w:t xml:space="preserve"> ישלם קנס בסך 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250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ש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>ח</w:t>
      </w:r>
      <w:r>
        <w:rPr>
          <w:b/>
          <w:b/>
          <w:bCs/>
          <w:sz w:val="26"/>
          <w:sz w:val="26"/>
          <w:szCs w:val="26"/>
          <w:rtl w:val="true"/>
        </w:rPr>
        <w:t xml:space="preserve"> או </w:t>
      </w:r>
      <w:r>
        <w:rPr>
          <w:b/>
          <w:bCs/>
          <w:sz w:val="26"/>
          <w:szCs w:val="26"/>
        </w:rPr>
        <w:t>20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</w:t>
      </w:r>
      <w:r>
        <w:rPr>
          <w:b/>
          <w:b/>
          <w:bCs/>
          <w:sz w:val="26"/>
          <w:sz w:val="26"/>
          <w:szCs w:val="26"/>
          <w:rtl w:val="true"/>
        </w:rPr>
        <w:t xml:space="preserve"> מאסר  </w:t>
      </w:r>
      <w:r>
        <w:rPr>
          <w:b/>
          <w:b/>
          <w:bCs/>
          <w:sz w:val="26"/>
          <w:sz w:val="26"/>
          <w:szCs w:val="26"/>
          <w:rtl w:val="true"/>
        </w:rPr>
        <w:t>תמורתו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start"/>
        <w:rPr>
          <w:b/>
          <w:bCs/>
          <w:sz w:val="26"/>
          <w:szCs w:val="26"/>
        </w:rPr>
      </w:pPr>
      <w:r>
        <w:rPr>
          <w:b/>
          <w:b/>
          <w:bCs/>
          <w:sz w:val="26"/>
          <w:sz w:val="26"/>
          <w:szCs w:val="26"/>
          <w:rtl w:val="true"/>
        </w:rPr>
        <w:t>הקנס</w:t>
      </w:r>
      <w:r>
        <w:rPr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ישולם</w:t>
      </w:r>
      <w:r>
        <w:rPr>
          <w:b/>
          <w:b/>
          <w:bCs/>
          <w:sz w:val="26"/>
          <w:sz w:val="26"/>
          <w:szCs w:val="26"/>
          <w:rtl w:val="true"/>
        </w:rPr>
        <w:t xml:space="preserve"> עד ל</w:t>
      </w:r>
      <w:r>
        <w:rPr>
          <w:b/>
          <w:b/>
          <w:bCs/>
          <w:sz w:val="26"/>
          <w:sz w:val="26"/>
          <w:szCs w:val="26"/>
          <w:rtl w:val="true"/>
        </w:rPr>
        <w:t xml:space="preserve">תאריך </w:t>
      </w:r>
      <w:r>
        <w:rPr>
          <w:b/>
          <w:bCs/>
          <w:sz w:val="26"/>
          <w:szCs w:val="26"/>
        </w:rPr>
        <w:t>15.3.10</w:t>
      </w:r>
      <w:r>
        <w:rPr>
          <w:b/>
          <w:bCs/>
          <w:sz w:val="26"/>
          <w:szCs w:val="26"/>
          <w:rtl w:val="true"/>
        </w:rPr>
        <w:t>.</w:t>
      </w:r>
    </w:p>
    <w:p>
      <w:pPr>
        <w:pStyle w:val="Normal"/>
        <w:overflowPunct w:val="false"/>
        <w:autoSpaceDE w:val="false"/>
        <w:spacing w:lineRule="auto" w:line="360"/>
        <w:ind w:hanging="720" w:start="144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overflowPunct w:val="false"/>
        <w:autoSpaceDE w:val="false"/>
        <w:spacing w:lineRule="auto" w:line="360"/>
        <w:ind w:hanging="720" w:start="720"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  <w:rtl w:val="true"/>
        </w:rPr>
        <w:t>.</w:t>
        <w:tab/>
      </w:r>
      <w:r>
        <w:rPr>
          <w:b/>
          <w:b/>
          <w:bCs/>
          <w:sz w:val="26"/>
          <w:sz w:val="26"/>
          <w:szCs w:val="26"/>
          <w:rtl w:val="true"/>
        </w:rPr>
        <w:t>הנאשם ישלם פיצוי למתלוננת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גב</w:t>
      </w:r>
      <w:r>
        <w:rPr>
          <w:b/>
          <w:bCs/>
          <w:sz w:val="26"/>
          <w:szCs w:val="26"/>
          <w:rtl w:val="true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</w:rPr>
        <w:t>רות בן ארי קסל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>ת</w:t>
      </w:r>
      <w:r>
        <w:rPr>
          <w:b/>
          <w:bCs/>
          <w:sz w:val="26"/>
          <w:szCs w:val="26"/>
          <w:rtl w:val="true"/>
        </w:rPr>
        <w:t>"</w:t>
      </w:r>
      <w:r>
        <w:rPr>
          <w:b/>
          <w:b/>
          <w:bCs/>
          <w:sz w:val="26"/>
          <w:sz w:val="26"/>
          <w:szCs w:val="26"/>
          <w:rtl w:val="true"/>
        </w:rPr>
        <w:t xml:space="preserve">ז </w:t>
      </w:r>
      <w:r>
        <w:rPr>
          <w:b/>
          <w:bCs/>
          <w:sz w:val="26"/>
          <w:szCs w:val="26"/>
        </w:rPr>
        <w:t>050195270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מרחוב ביאליק </w:t>
      </w:r>
      <w:r>
        <w:rPr>
          <w:b/>
          <w:bCs/>
          <w:sz w:val="26"/>
          <w:szCs w:val="26"/>
        </w:rPr>
        <w:t>29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יהוד</w:t>
      </w:r>
      <w:r>
        <w:rPr>
          <w:b/>
          <w:bCs/>
          <w:sz w:val="26"/>
          <w:szCs w:val="26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rtl w:val="true"/>
        </w:rPr>
        <w:t xml:space="preserve">בסך </w:t>
      </w:r>
      <w:r>
        <w:rPr>
          <w:b/>
          <w:bCs/>
          <w:sz w:val="26"/>
          <w:szCs w:val="26"/>
        </w:rPr>
        <w:t>500</w:t>
      </w:r>
      <w:r>
        <w:rPr>
          <w:b/>
          <w:bCs/>
          <w:sz w:val="26"/>
          <w:szCs w:val="26"/>
          <w:rtl w:val="true"/>
        </w:rPr>
        <w:t xml:space="preserve"> ₪, </w:t>
      </w:r>
      <w:r>
        <w:rPr>
          <w:b/>
          <w:b/>
          <w:bCs/>
          <w:sz w:val="26"/>
          <w:sz w:val="26"/>
          <w:szCs w:val="26"/>
          <w:rtl w:val="true"/>
        </w:rPr>
        <w:t xml:space="preserve">אותו יפקיד בקופת בית המשפט עד תאריך </w:t>
      </w:r>
      <w:r>
        <w:rPr>
          <w:b/>
          <w:bCs/>
          <w:sz w:val="26"/>
          <w:szCs w:val="26"/>
        </w:rPr>
        <w:t>15.3.10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Style13"/>
        <w:spacing w:lineRule="auto" w:line="360"/>
        <w:ind w:end="0"/>
        <w:jc w:val="start"/>
        <w:rPr>
          <w:b/>
          <w:sz w:val="26"/>
          <w:szCs w:val="26"/>
        </w:rPr>
      </w:pPr>
      <w:r>
        <w:rPr>
          <w:b/>
          <w:b/>
          <w:sz w:val="26"/>
          <w:sz w:val="26"/>
          <w:szCs w:val="26"/>
          <w:rtl w:val="true"/>
        </w:rPr>
        <w:t>זכות</w:t>
      </w:r>
      <w:r>
        <w:rPr>
          <w:b/>
          <w:b/>
          <w:sz w:val="26"/>
          <w:sz w:val="26"/>
          <w:szCs w:val="26"/>
          <w:rtl w:val="true"/>
        </w:rPr>
        <w:t xml:space="preserve"> ערעור תוך </w:t>
      </w:r>
      <w:r>
        <w:rPr>
          <w:b/>
          <w:sz w:val="26"/>
          <w:szCs w:val="26"/>
        </w:rPr>
        <w:t>45</w:t>
      </w:r>
      <w:r>
        <w:rPr>
          <w:b/>
          <w:sz w:val="26"/>
          <w:szCs w:val="26"/>
          <w:rtl w:val="true"/>
        </w:rPr>
        <w:t xml:space="preserve"> </w:t>
      </w:r>
      <w:r>
        <w:rPr>
          <w:b/>
          <w:b/>
          <w:sz w:val="26"/>
          <w:sz w:val="26"/>
          <w:szCs w:val="26"/>
          <w:rtl w:val="true"/>
        </w:rPr>
        <w:t>יום</w:t>
      </w:r>
      <w:r>
        <w:rPr>
          <w:b/>
          <w:sz w:val="26"/>
          <w:szCs w:val="26"/>
          <w:rtl w:val="true"/>
        </w:rPr>
        <w:t>.</w:t>
      </w:r>
      <w:r>
        <w:rPr>
          <w:b/>
          <w:sz w:val="26"/>
          <w:szCs w:val="26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#7#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שבט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01/02/2010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הדסה נאור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הדסה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נאור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  <w:t>אליה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הלפרין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u w:val="single"/>
            <w:rtl w:val="true"/>
          </w:rPr>
          <w:t xml:space="preserve">- </w:t>
        </w:r>
        <w:r>
          <w:rPr>
            <w:rStyle w:val="Hyperlink"/>
            <w:color w:val="0000FF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/Users/liorb/Downloads/study2025-p2/SH-08-8056-192.doc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8056-08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גולן דנן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rFonts w:ascii="Times New Roman" w:hAnsi="Times New Roman" w:eastAsia="Times New Roman" w:cs="Times New Roman"/>
      <w:b/>
      <w:bCs/>
      <w:sz w:val="46"/>
      <w:szCs w:val="44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jc w:val="center"/>
    </w:pPr>
    <w:rPr>
      <w:rFonts w:ascii="Times New Roman" w:hAnsi="Times New Roman" w:eastAsia="Times New Roman" w:cs="Times New Roman"/>
      <w:b/>
      <w:bCs/>
      <w:sz w:val="28"/>
      <w:szCs w:val="28"/>
      <w:u w:val="single"/>
    </w:rPr>
  </w:style>
  <w:style w:type="paragraph" w:styleId="BodyText">
    <w:name w:val="Body Text"/>
    <w:basedOn w:val="Normal"/>
    <w:pPr>
      <w:jc w:val="both"/>
    </w:pPr>
    <w:rPr>
      <w:rFonts w:ascii="Times New Roman" w:hAnsi="Times New Roman" w:eastAsia="Times New Roman" w:cs="Times New Roman"/>
      <w:sz w:val="20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2">
    <w:name w:val="סגנון מיושר לשני הצדדים מרווח בין שורות:  שורה וחצי"/>
    <w:basedOn w:val="Normal"/>
    <w:qFormat/>
    <w:pPr>
      <w:spacing w:lineRule="auto" w:line="360"/>
      <w:jc w:val="both"/>
    </w:pPr>
    <w:rPr>
      <w:rFonts w:eastAsia="Times New Roman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3">
    <w:name w:val="החלטה"/>
    <w:basedOn w:val="Normal"/>
    <w:qFormat/>
    <w:pPr>
      <w:suppressLineNumbers/>
    </w:pPr>
    <w:rPr>
      <w:rFonts w:ascii="Times New Roman" w:hAnsi="Times New Roman" w:eastAsia="Times New Roman" w:cs="Times New Roman"/>
      <w:bCs/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1739/05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2010-02-02T09:40:00Z</dcterms:created>
  <dc:creator> </dc:creator>
  <dc:description/>
  <cp:keywords/>
  <dc:language>en-IL</dc:language>
  <cp:lastModifiedBy>einat</cp:lastModifiedBy>
  <dcterms:modified xsi:type="dcterms:W3CDTF">2010-02-02T11:24:00Z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גולן דנן</vt:lpwstr>
  </property>
  <property fmtid="{D5CDD505-2E9C-101B-9397-08002B2CF9AE}" pid="4" name="CITY">
    <vt:lpwstr>ת"א</vt:lpwstr>
  </property>
  <property fmtid="{D5CDD505-2E9C-101B-9397-08002B2CF9AE}" pid="5" name="DATE">
    <vt:lpwstr>20100201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הדסה נאור</vt:lpwstr>
  </property>
  <property fmtid="{D5CDD505-2E9C-101B-9397-08002B2CF9AE}" pid="9" name="LAWYER">
    <vt:lpwstr>מוטי רייזמן;רינסקי</vt:lpwstr>
  </property>
  <property fmtid="{D5CDD505-2E9C-101B-9397-08002B2CF9AE}" pid="10" name="LINKK1">
    <vt:lpwstr/>
  </property>
  <property fmtid="{D5CDD505-2E9C-101B-9397-08002B2CF9AE}" pid="11" name="LINKK10">
    <vt:lpwstr/>
  </property>
  <property fmtid="{D5CDD505-2E9C-101B-9397-08002B2CF9AE}" pid="12" name="LINKK11">
    <vt:lpwstr/>
  </property>
  <property fmtid="{D5CDD505-2E9C-101B-9397-08002B2CF9AE}" pid="13" name="LINKK12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NEWPARTA">
    <vt:lpwstr>8056</vt:lpwstr>
  </property>
  <property fmtid="{D5CDD505-2E9C-101B-9397-08002B2CF9AE}" pid="23" name="NEWPARTB">
    <vt:lpwstr/>
  </property>
  <property fmtid="{D5CDD505-2E9C-101B-9397-08002B2CF9AE}" pid="24" name="NEWPARTC">
    <vt:lpwstr>08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>8056</vt:lpwstr>
  </property>
  <property fmtid="{D5CDD505-2E9C-101B-9397-08002B2CF9AE}" pid="31" name="PROCYEAR">
    <vt:lpwstr>08</vt:lpwstr>
  </property>
  <property fmtid="{D5CDD505-2E9C-101B-9397-08002B2CF9AE}" pid="32" name="PSAKDIN">
    <vt:lpwstr>הכרעת-דין</vt:lpwstr>
  </property>
  <property fmtid="{D5CDD505-2E9C-101B-9397-08002B2CF9AE}" pid="33" name="RemarkFileName">
    <vt:lpwstr>shalom sh 08 8056 192 htm</vt:lpwstr>
  </property>
  <property fmtid="{D5CDD505-2E9C-101B-9397-08002B2CF9AE}" pid="34" name="TYPE">
    <vt:lpwstr>3</vt:lpwstr>
  </property>
  <property fmtid="{D5CDD505-2E9C-101B-9397-08002B2CF9AE}" pid="35" name="TYPE_ABS_DATE">
    <vt:lpwstr>380020100201</vt:lpwstr>
  </property>
  <property fmtid="{D5CDD505-2E9C-101B-9397-08002B2CF9AE}" pid="36" name="TYPE_N_DATE">
    <vt:lpwstr>38020100201</vt:lpwstr>
  </property>
  <property fmtid="{D5CDD505-2E9C-101B-9397-08002B2CF9AE}" pid="37" name="VOLUME">
    <vt:lpwstr/>
  </property>
  <property fmtid="{D5CDD505-2E9C-101B-9397-08002B2CF9AE}" pid="38" name="WORDNUMPAGES">
    <vt:lpwstr>3</vt:lpwstr>
  </property>
</Properties>
</file>