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8079-07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אלחמידי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9"/>
        <w:gridCol w:w="1416"/>
        <w:gridCol w:w="1417"/>
        <w:gridCol w:w="1417"/>
        <w:gridCol w:w="1417"/>
        <w:gridCol w:w="1417"/>
        <w:gridCol w:w="1317"/>
      </w:tblGrid>
      <w:tr>
        <w:trPr>
          <w:trHeight w:val="337" w:hRule="atLeast"/>
        </w:trPr>
        <w:tc>
          <w:tcPr>
            <w:tcW w:w="31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6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/>
              <w:t>20500/07</w:t>
            </w:r>
          </w:p>
        </w:tc>
        <w:tc>
          <w:tcPr>
            <w:tcW w:w="1417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/>
              <w:t>21267/07</w:t>
            </w:r>
          </w:p>
        </w:tc>
        <w:tc>
          <w:tcPr>
            <w:tcW w:w="1417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/>
              <w:t>20163/08</w:t>
            </w:r>
          </w:p>
        </w:tc>
        <w:tc>
          <w:tcPr>
            <w:tcW w:w="1417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/>
              <w:t>20844/08</w:t>
            </w:r>
          </w:p>
        </w:tc>
        <w:tc>
          <w:tcPr>
            <w:tcW w:w="1417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/>
              <w:t>20260/09</w:t>
            </w:r>
          </w:p>
        </w:tc>
        <w:tc>
          <w:tcPr>
            <w:tcW w:w="1317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/>
              <w:t>1750/06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9"/>
        <w:gridCol w:w="2435"/>
        <w:gridCol w:w="6278"/>
      </w:tblGrid>
      <w:tr>
        <w:trPr/>
        <w:tc>
          <w:tcPr>
            <w:tcW w:w="89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 אליהו ביתן</w:t>
            </w:r>
          </w:p>
        </w:tc>
      </w:tr>
      <w:tr>
        <w:trPr/>
        <w:tc>
          <w:tcPr>
            <w:tcW w:w="252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627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52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627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אבר אלחמידי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#2#</w:t>
      </w:r>
      <w:r>
        <w:rPr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לני מונטיליו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 xml:space="preserve">סגל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ובאת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סוזי שלו </w:t>
      </w:r>
    </w:p>
    <w:p>
      <w:pPr>
        <w:pStyle w:val="David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4" w:name="LawTable"/>
      <w:bookmarkEnd w:id="4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Heading1"/>
        <w:spacing w:lineRule="auto" w:line="360"/>
        <w:ind w:hanging="0" w:start="0" w:end="0"/>
        <w:jc w:val="start"/>
        <w:rPr>
          <w:bCs w:val="false"/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 xml:space="preserve">כללי </w:t>
      </w:r>
      <w:bookmarkStart w:id="11" w:name="ABSTRACT_START"/>
      <w:bookmarkEnd w:id="11"/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</w:t>
      </w:r>
      <w:r>
        <w:rPr>
          <w:b/>
          <w:b/>
          <w:rtl w:val="true"/>
        </w:rPr>
        <w:t>החזקת נשק שלא כדין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לפי </w:t>
      </w:r>
      <w:hyperlink r:id="rId6">
        <w:r>
          <w:rPr>
            <w:rStyle w:val="Hyperlink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color w:val="0000FF"/>
            <w:u w:val="single"/>
          </w:rPr>
          <w:t>144</w:t>
        </w:r>
        <w:r>
          <w:rPr>
            <w:rStyle w:val="Hyperlink"/>
            <w:b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b/>
            <w:color w:val="0000FF"/>
            <w:u w:val="single"/>
            <w:rtl w:val="true"/>
          </w:rPr>
          <w:t>)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רישא ל</w:t>
      </w:r>
      <w:hyperlink r:id="rId7">
        <w:r>
          <w:rPr>
            <w:rStyle w:val="Hyperlink"/>
            <w:b/>
            <w:b/>
            <w:rtl w:val="true"/>
          </w:rPr>
          <w:t>חוק העונשין</w:t>
        </w:r>
      </w:hyperlink>
      <w:r>
        <w:rPr>
          <w:b/>
          <w:b/>
          <w:rtl w:val="true"/>
        </w:rPr>
        <w:t xml:space="preserve"> תשל</w:t>
      </w:r>
      <w:r>
        <w:rPr>
          <w:b/>
          <w:rtl w:val="true"/>
        </w:rPr>
        <w:t>"</w:t>
      </w:r>
      <w:r>
        <w:rPr>
          <w:b/>
          <w:b/>
          <w:rtl w:val="true"/>
        </w:rPr>
        <w:t>ז</w:t>
      </w:r>
      <w:r>
        <w:rPr>
          <w:b/>
          <w:rtl w:val="true"/>
        </w:rPr>
        <w:t>-</w:t>
      </w:r>
      <w:r>
        <w:rPr>
          <w:b/>
        </w:rPr>
        <w:t>1977</w:t>
      </w:r>
      <w:r>
        <w:rPr>
          <w:b/>
          <w:rtl w:val="true"/>
        </w:rPr>
        <w:t xml:space="preserve"> (</w:t>
      </w:r>
      <w:r>
        <w:rPr>
          <w:b/>
          <w:b/>
          <w:rtl w:val="true"/>
        </w:rPr>
        <w:t>להלן</w:t>
      </w:r>
      <w:r>
        <w:rPr>
          <w:b/>
          <w:rtl w:val="true"/>
        </w:rPr>
        <w:t>:"</w:t>
      </w:r>
      <w:r>
        <w:rPr>
          <w:b/>
          <w:b/>
          <w:rtl w:val="true"/>
        </w:rPr>
        <w:t>החוק</w:t>
      </w:r>
      <w:r>
        <w:rPr>
          <w:b/>
          <w:rtl w:val="true"/>
        </w:rPr>
        <w:t xml:space="preserve">"), </w:t>
      </w:r>
      <w:r>
        <w:rPr>
          <w:b/>
          <w:b/>
          <w:rtl w:val="true"/>
        </w:rPr>
        <w:t>חבלה בכוונה מחמירה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לפי </w:t>
      </w:r>
      <w:hyperlink r:id="rId8">
        <w:r>
          <w:rPr>
            <w:rStyle w:val="Hyperlink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color w:val="0000FF"/>
            <w:u w:val="single"/>
          </w:rPr>
          <w:t>329</w:t>
        </w:r>
        <w:r>
          <w:rPr>
            <w:rStyle w:val="Hyperlink"/>
            <w:b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b/>
            <w:color w:val="0000FF"/>
            <w:u w:val="single"/>
            <w:rtl w:val="true"/>
          </w:rPr>
          <w:t>)(</w:t>
        </w:r>
        <w:r>
          <w:rPr>
            <w:rStyle w:val="Hyperlink"/>
            <w:b/>
            <w:color w:val="0000FF"/>
            <w:u w:val="single"/>
          </w:rPr>
          <w:t>1</w:t>
        </w:r>
        <w:r>
          <w:rPr>
            <w:rStyle w:val="Hyperlink"/>
            <w:b/>
            <w:color w:val="0000FF"/>
            <w:u w:val="single"/>
            <w:rtl w:val="true"/>
          </w:rPr>
          <w:t>)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לחוק וירי באיזור מגורים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לפי </w:t>
      </w:r>
      <w:hyperlink r:id="rId9">
        <w:r>
          <w:rPr>
            <w:rStyle w:val="Hyperlink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color w:val="0000FF"/>
            <w:u w:val="single"/>
          </w:rPr>
          <w:t>340</w:t>
        </w:r>
        <w:r>
          <w:rPr>
            <w:rStyle w:val="Hyperlink"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א</w:t>
        </w:r>
      </w:hyperlink>
      <w:r>
        <w:rPr>
          <w:b/>
          <w:b/>
          <w:rtl w:val="true"/>
        </w:rPr>
        <w:t xml:space="preserve"> לחוק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start"/>
        <w:rPr>
          <w:bCs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בהכרעת הדין נקבע כי בתאריך </w:t>
      </w:r>
      <w:r>
        <w:rPr/>
        <w:t>24.3.06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14:30</w:t>
      </w:r>
      <w:r>
        <w:rPr>
          <w:rtl w:val="true"/>
        </w:rPr>
        <w:t xml:space="preserve"> </w:t>
      </w:r>
      <w:r>
        <w:rPr>
          <w:rtl w:val="true"/>
        </w:rPr>
        <w:t>הגיע הנאשם ברכב עם אחרים – אָחיו נאג</w:t>
      </w:r>
      <w:r>
        <w:rPr>
          <w:rtl w:val="true"/>
        </w:rPr>
        <w:t>'</w:t>
      </w:r>
      <w:r>
        <w:rPr>
          <w:rtl w:val="true"/>
        </w:rPr>
        <w:t xml:space="preserve">י אלחמידי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נאג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tl w:val="true"/>
        </w:rPr>
        <w:t xml:space="preserve">") </w:t>
      </w:r>
      <w:r>
        <w:rPr>
          <w:rtl w:val="true"/>
        </w:rPr>
        <w:t>ועדנאן אלחמידי</w:t>
      </w:r>
      <w:r>
        <w:rPr>
          <w:rtl w:val="true"/>
        </w:rPr>
        <w:t xml:space="preserve">, </w:t>
      </w:r>
      <w:r>
        <w:rPr>
          <w:rtl w:val="true"/>
        </w:rPr>
        <w:t>לישוב שגב שלום ושם</w:t>
      </w:r>
      <w:r>
        <w:rPr>
          <w:rtl w:val="true"/>
        </w:rPr>
        <w:t xml:space="preserve">, </w:t>
      </w:r>
      <w:r>
        <w:rPr>
          <w:rtl w:val="true"/>
        </w:rPr>
        <w:t>ליד חנות המכולת שבכניסה לישוב</w:t>
      </w:r>
      <w:r>
        <w:rPr>
          <w:rtl w:val="true"/>
        </w:rPr>
        <w:t xml:space="preserve">, </w:t>
      </w:r>
      <w:r>
        <w:rPr>
          <w:rtl w:val="true"/>
        </w:rPr>
        <w:t xml:space="preserve">ירה באקדח לעבר רכב בו ישבו פארס אלחמידי ואיסמעיל אלחמידי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פארס</w:t>
      </w:r>
      <w:r>
        <w:rPr>
          <w:rtl w:val="true"/>
        </w:rPr>
        <w:t xml:space="preserve">" </w:t>
      </w:r>
      <w:r>
        <w:rPr>
          <w:rtl w:val="true"/>
        </w:rPr>
        <w:t xml:space="preserve">ו </w:t>
      </w:r>
      <w:r>
        <w:rPr>
          <w:rtl w:val="true"/>
        </w:rPr>
        <w:t>"</w:t>
      </w:r>
      <w:r>
        <w:rPr>
          <w:rtl w:val="true"/>
        </w:rPr>
        <w:t>איסמעיל</w:t>
      </w:r>
      <w:r>
        <w:rPr>
          <w:rtl w:val="true"/>
        </w:rPr>
        <w:t xml:space="preserve">"), </w:t>
      </w:r>
      <w:r>
        <w:rPr>
          <w:rtl w:val="true"/>
        </w:rPr>
        <w:t xml:space="preserve">לאחר מכן ירה בסמיר אלחמידי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סמיר</w:t>
      </w:r>
      <w:r>
        <w:rPr>
          <w:rtl w:val="true"/>
        </w:rPr>
        <w:t xml:space="preserve">"), </w:t>
      </w:r>
      <w:r>
        <w:rPr>
          <w:rtl w:val="true"/>
        </w:rPr>
        <w:t>שהיה בקרבת מקום ופצעו</w:t>
      </w:r>
      <w:r>
        <w:rPr>
          <w:rtl w:val="true"/>
        </w:rPr>
        <w:t xml:space="preserve">, </w:t>
      </w:r>
      <w:r>
        <w:rPr>
          <w:rtl w:val="true"/>
        </w:rPr>
        <w:t>הגיע לרכב בו היו פארס ואיסמעיל וירה בהם ופצעם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</w:rPr>
      </w:pPr>
      <w:r>
        <w:rPr>
          <w:b/>
          <w:rtl w:val="true"/>
        </w:rPr>
      </w:r>
    </w:p>
    <w:p>
      <w:pPr>
        <w:pStyle w:val="Heading3"/>
        <w:spacing w:lineRule="auto" w:line="360"/>
        <w:ind w:hanging="0" w:start="0" w:end="0"/>
        <w:jc w:val="start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טענות הצדדים</w:t>
      </w:r>
    </w:p>
    <w:p>
      <w:pPr>
        <w:pStyle w:val="Normal"/>
        <w:ind w:end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מעשיו של הנאשם חמורים ביותר</w:t>
      </w:r>
      <w:r>
        <w:rPr>
          <w:rtl w:val="true"/>
        </w:rPr>
        <w:t xml:space="preserve">. </w:t>
      </w:r>
      <w:r>
        <w:rPr>
          <w:rtl w:val="true"/>
        </w:rPr>
        <w:t>הוא ירה בשלושת המתלוננים מטווח קצר ועזב את המקום</w:t>
      </w:r>
      <w:r>
        <w:rPr>
          <w:rtl w:val="true"/>
        </w:rPr>
        <w:t xml:space="preserve">, </w:t>
      </w:r>
      <w:r>
        <w:rPr>
          <w:rtl w:val="true"/>
        </w:rPr>
        <w:t>יחד עם האחרים</w:t>
      </w:r>
      <w:r>
        <w:rPr>
          <w:rtl w:val="true"/>
        </w:rPr>
        <w:t xml:space="preserve">, </w:t>
      </w:r>
      <w:r>
        <w:rPr>
          <w:rtl w:val="true"/>
        </w:rPr>
        <w:t>כשהוא מותיר את המתלוננים פצועים ושותתי דם</w:t>
      </w:r>
      <w:r>
        <w:rPr>
          <w:rtl w:val="true"/>
        </w:rPr>
        <w:t xml:space="preserve">. </w:t>
      </w:r>
      <w:r>
        <w:rPr>
          <w:rtl w:val="true"/>
        </w:rPr>
        <w:t>היא טענה כי שימוש בנשק חם באמצע היום במקום ציבורי</w:t>
      </w:r>
      <w:r>
        <w:rPr>
          <w:rtl w:val="true"/>
        </w:rPr>
        <w:t xml:space="preserve">, </w:t>
      </w:r>
      <w:r>
        <w:rPr>
          <w:rtl w:val="true"/>
        </w:rPr>
        <w:t>מסכן גם עוברי אורח תמימים שאינם קשורים לסכסוך והפנתה לגזר דינו של אחיו של הנאשם</w:t>
      </w:r>
      <w:r>
        <w:rPr>
          <w:rtl w:val="true"/>
        </w:rPr>
        <w:t xml:space="preserve">, </w:t>
      </w:r>
      <w:r>
        <w:rPr>
          <w:rtl w:val="true"/>
        </w:rPr>
        <w:t>נאג</w:t>
      </w:r>
      <w:r>
        <w:rPr>
          <w:rtl w:val="true"/>
        </w:rPr>
        <w:t>'</w:t>
      </w:r>
      <w:r>
        <w:rPr>
          <w:rtl w:val="true"/>
        </w:rPr>
        <w:t>י אלחמידי</w:t>
      </w:r>
      <w:r>
        <w:rPr>
          <w:rtl w:val="true"/>
        </w:rPr>
        <w:t xml:space="preserve">, </w:t>
      </w:r>
      <w:r>
        <w:rPr>
          <w:rtl w:val="true"/>
        </w:rPr>
        <w:t>שהורשע באותה פרשה ונדון בין היתר לשלוש שנות מאסר בפועל</w:t>
      </w:r>
      <w:r>
        <w:rPr>
          <w:rtl w:val="true"/>
        </w:rPr>
        <w:t xml:space="preserve">. </w:t>
      </w:r>
      <w:r>
        <w:rPr>
          <w:rtl w:val="true"/>
        </w:rPr>
        <w:t>היא ביקשה להשית על הנאשם מאסר ארוך– יותר מזה שהושת על נאג</w:t>
      </w:r>
      <w:r>
        <w:rPr>
          <w:rtl w:val="true"/>
        </w:rPr>
        <w:t>'</w:t>
      </w:r>
      <w:r>
        <w:rPr>
          <w:rtl w:val="true"/>
        </w:rPr>
        <w:t>י ומאסר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הדגישה כי הנאשם איננו מודה בעשיית המעשים שבית המשפט קבע כי הוא ביצע</w:t>
      </w:r>
      <w:r>
        <w:rPr>
          <w:rtl w:val="true"/>
        </w:rPr>
        <w:t xml:space="preserve">. </w:t>
      </w:r>
      <w:r>
        <w:rPr>
          <w:rtl w:val="true"/>
        </w:rPr>
        <w:t>היא ביקשה להתחשב במשך הזמן שעבר מאז האירוע ועד היום ובכך שעדי התביעה גילו בהתנהגותם שאין להם עניין בהליך המשפטי</w:t>
      </w:r>
      <w:r>
        <w:rPr>
          <w:rtl w:val="true"/>
        </w:rPr>
        <w:t xml:space="preserve">. </w:t>
      </w:r>
      <w:r>
        <w:rPr>
          <w:rtl w:val="true"/>
        </w:rPr>
        <w:t>עוד ציינה כי לטענת המתלוננים</w:t>
      </w:r>
      <w:r>
        <w:rPr>
          <w:rtl w:val="true"/>
        </w:rPr>
        <w:t xml:space="preserve">, </w:t>
      </w:r>
      <w:r>
        <w:rPr>
          <w:rtl w:val="true"/>
        </w:rPr>
        <w:t>הירי היה כלפי הרגליים ולא במטרה לקפח חיים או לגרום לפגיעות קשות וכי פציעות המתלוננים לא היו מן הקשות</w:t>
      </w:r>
      <w:r>
        <w:rPr>
          <w:rtl w:val="true"/>
        </w:rPr>
        <w:t xml:space="preserve">, </w:t>
      </w:r>
      <w:r>
        <w:rPr>
          <w:rtl w:val="true"/>
        </w:rPr>
        <w:t>וכולם החלימו</w:t>
      </w:r>
      <w:r>
        <w:rPr>
          <w:rtl w:val="true"/>
        </w:rPr>
        <w:t xml:space="preserve">. </w:t>
      </w:r>
      <w:r>
        <w:rPr>
          <w:rtl w:val="true"/>
        </w:rPr>
        <w:t>לנאשם אין עבר פלילי ממשי</w:t>
      </w:r>
      <w:r>
        <w:rPr>
          <w:rtl w:val="true"/>
        </w:rPr>
        <w:t xml:space="preserve">. </w:t>
      </w:r>
      <w:r>
        <w:rPr>
          <w:rtl w:val="true"/>
        </w:rPr>
        <w:t>הוא אדם נורמטיבי</w:t>
      </w:r>
      <w:r>
        <w:rPr>
          <w:rtl w:val="true"/>
        </w:rPr>
        <w:t xml:space="preserve">, </w:t>
      </w:r>
      <w:r>
        <w:rPr>
          <w:rtl w:val="true"/>
        </w:rPr>
        <w:t>נשוי ואב לשמונה ילדים והוא המפרנס היחיד בביתו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Heading2"/>
        <w:spacing w:lineRule="auto" w:line="360"/>
        <w:ind w:hanging="0" w:start="0" w:end="0"/>
        <w:jc w:val="start"/>
        <w:rPr>
          <w:b w:val="false"/>
          <w:i w:val="false"/>
          <w:i w:val="false"/>
          <w:iCs w:val="false"/>
          <w:u w:val="single"/>
        </w:rPr>
      </w:pPr>
      <w:r>
        <w:rPr>
          <w:i w:val="false"/>
          <w:i w:val="false"/>
          <w:iCs w:val="false"/>
          <w:u w:val="single"/>
          <w:rtl w:val="true"/>
        </w:rPr>
        <w:t>דיון והכרעה</w:t>
      </w:r>
    </w:p>
    <w:p>
      <w:pPr>
        <w:pStyle w:val="Normal"/>
        <w:ind w:end="0"/>
        <w:jc w:val="start"/>
        <w:rPr>
          <w:b/>
          <w:i/>
          <w:i/>
          <w:iCs/>
          <w:u w:val="single"/>
        </w:rPr>
      </w:pPr>
      <w:r>
        <w:rPr>
          <w:b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</w:rPr>
      </w:pPr>
      <w:r>
        <w:rPr>
          <w:b/>
          <w:lang w:val="en-IL" w:eastAsia="en-IL"/>
        </w:rPr>
        <w:t>1</w:t>
      </w:r>
      <w:r>
        <w:rPr>
          <w:b/>
          <w:rtl w:val="true"/>
          <w:lang w:val="en-IL" w:eastAsia="en-IL"/>
        </w:rPr>
        <w:t>.</w:t>
        <w:tab/>
      </w:r>
      <w:r>
        <w:rPr>
          <w:rtl w:val="true"/>
        </w:rPr>
        <w:t>עבירת הנשק והעבירה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>בהן הורשע הנאשם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 xml:space="preserve">העונש הקבוע לצדן –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מדבר בעדו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Fonts w:cs="Tahoma" w:ascii="Tahoma" w:hAnsi="Tahoma"/>
          <w:rtl w:val="true"/>
        </w:rPr>
        <w:t>"...</w:t>
      </w:r>
      <w:r>
        <w:rPr>
          <w:rFonts w:ascii="Tahoma" w:hAnsi="Tahoma" w:cs="Tahoma"/>
          <w:rtl w:val="true"/>
        </w:rPr>
        <w:t>תופעה נוראה זו פשתה בחברתנו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היתה כמחלה ממארת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וחובה היא המוטלת עלינו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בית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המשפט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להעלות תרומתו למלחמה קשה זו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מלחמה היא שאסור לעשות בה ויתורים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שאם נוותר ונסלח תתגבר התופעה ותלך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חברתנו הפכה להיותה חברה אלימה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ותרומתו של בית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המשפט למלחמה באלימות היא בהטלת עונשים ראויים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בבואנו לגזור עונשים על עבריינים כמשיב שלפנינו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שומה עלינו לשוות נגד עינינו לא רק את המשיב ואת צורכי שיקומו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לא רק את משפחתו הסובלת בשל מעשיו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אלא גם את הנפגעים ממעשיו של המשיב ואת הנפגעים ממעשים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בכוח שייעשו אם לא נגיב בחומרה על מעשים כמעשה המשיב</w:t>
      </w:r>
      <w:r>
        <w:rPr>
          <w:rFonts w:cs="Tahoma" w:ascii="Tahoma" w:hAnsi="Tahoma"/>
          <w:rtl w:val="true"/>
        </w:rPr>
        <w:t xml:space="preserve">. </w:t>
        <w:br/>
      </w:r>
      <w:r>
        <w:rPr>
          <w:rFonts w:ascii="Tahoma" w:hAnsi="Tahoma" w:cs="Tahoma"/>
          <w:rtl w:val="true"/>
        </w:rPr>
        <w:t>ראשית לכל נזכור את יסוד הגמול שבענישה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אדם העושה מעשה רע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מעשה הפורע סידרי חברה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חייב לדעת כי החברה תשיב לו כגמולו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מעשה רע ייגמל בעונש קשה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מעשה רע מאד ייגמל בעונש קשה מאד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כך הוא אף באשר להרתעה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הרתעת היחיד והרתעת הרבים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יד קלה על סכין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אצבע קלה על הדק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כף יד קלה על רימון יד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כל אלה ייענשו בחומרה להרתעת היחיד והרבים</w:t>
      </w:r>
      <w:r>
        <w:rPr>
          <w:rFonts w:cs="Tahoma" w:ascii="Tahoma" w:hAnsi="Tahoma"/>
          <w:rtl w:val="true"/>
        </w:rPr>
        <w:t>". (</w:t>
      </w:r>
      <w:hyperlink r:id="rId10">
        <w:r>
          <w:rPr>
            <w:rStyle w:val="Hyperlink"/>
            <w:rFonts w:ascii="Tahoma" w:hAnsi="Tahoma" w:cs="Tahoma"/>
            <w:rtl w:val="true"/>
          </w:rPr>
          <w:t>ע</w:t>
        </w:r>
        <w:r>
          <w:rPr>
            <w:rStyle w:val="Hyperlink"/>
            <w:rFonts w:cs="Tahoma" w:ascii="Tahoma" w:hAnsi="Tahoma"/>
            <w:rtl w:val="true"/>
          </w:rPr>
          <w:t>"</w:t>
        </w:r>
        <w:r>
          <w:rPr>
            <w:rStyle w:val="Hyperlink"/>
            <w:rFonts w:ascii="Tahoma" w:hAnsi="Tahoma" w:cs="Tahoma"/>
            <w:rtl w:val="true"/>
          </w:rPr>
          <w:t xml:space="preserve">פ </w:t>
        </w:r>
        <w:r>
          <w:rPr>
            <w:rStyle w:val="Hyperlink"/>
            <w:rFonts w:cs="Tahoma" w:ascii="Tahoma" w:hAnsi="Tahoma"/>
          </w:rPr>
          <w:t>5753/04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י נ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ירון רייכמן</w:t>
      </w:r>
      <w:r>
        <w:rPr>
          <w:rFonts w:cs="Tahoma" w:ascii="Tahoma" w:hAnsi="Tahoma"/>
          <w:rtl w:val="true"/>
        </w:rPr>
        <w:t xml:space="preserve">- </w:t>
      </w:r>
      <w:r>
        <w:rPr>
          <w:rFonts w:ascii="Tahoma" w:hAnsi="Tahoma" w:cs="Tahoma"/>
          <w:rtl w:val="true"/>
        </w:rPr>
        <w:t>פורסם בנבו</w:t>
      </w:r>
      <w:r>
        <w:rPr>
          <w:rFonts w:cs="Tahoma" w:ascii="Tahoma" w:hAnsi="Tahoma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וב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6163/09</w:t>
        </w:r>
      </w:hyperlink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 נ</w:t>
      </w:r>
      <w:r>
        <w:rPr>
          <w:rtl w:val="true"/>
        </w:rPr>
        <w:t xml:space="preserve">' </w:t>
      </w:r>
      <w:r>
        <w:rPr>
          <w:rtl w:val="true"/>
        </w:rPr>
        <w:t xml:space="preserve">קיאל קשאש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>-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"</w:t>
      </w:r>
      <w:r>
        <w:rPr>
          <w:rFonts w:ascii="Arial TUR" w:hAnsi="Arial TUR" w:cs="Arial TUR"/>
          <w:rtl w:val="true"/>
        </w:rPr>
        <w:t>אפשר להוסיף לכך את מה שמלמדנו השכל הישר אל נכון</w:t>
      </w:r>
      <w:r>
        <w:rPr>
          <w:rFonts w:cs="Arial TUR" w:ascii="Arial TUR" w:hAnsi="Arial TUR"/>
          <w:rtl w:val="true"/>
        </w:rPr>
        <w:t xml:space="preserve">; </w:t>
      </w:r>
      <w:r>
        <w:rPr>
          <w:rFonts w:ascii="Arial TUR" w:hAnsi="Arial TUR" w:cs="Arial TUR"/>
          <w:rtl w:val="true"/>
        </w:rPr>
        <w:t>פשיטא כי סכין מסוכן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 xml:space="preserve">ואין חולק כי מסוכן הוא </w:t>
      </w:r>
      <w:r>
        <w:rPr>
          <w:rFonts w:cs="Arial TUR" w:ascii="Arial TUR" w:hAnsi="Arial TUR"/>
          <w:rtl w:val="true"/>
        </w:rPr>
        <w:t>(</w:t>
      </w:r>
      <w:r>
        <w:rPr>
          <w:rFonts w:ascii="Arial TUR" w:hAnsi="Arial TUR" w:cs="Arial TUR"/>
          <w:rtl w:val="true"/>
        </w:rPr>
        <w:t xml:space="preserve">נכדותי הקטנות לומדות </w:t>
      </w:r>
      <w:r>
        <w:rPr>
          <w:rFonts w:cs="Arial TUR" w:ascii="Arial TUR" w:hAnsi="Arial TUR"/>
          <w:rtl w:val="true"/>
        </w:rPr>
        <w:t>"</w:t>
      </w:r>
      <w:r>
        <w:rPr>
          <w:rFonts w:ascii="Arial TUR" w:hAnsi="Arial TUR" w:cs="Arial TUR"/>
          <w:rtl w:val="true"/>
        </w:rPr>
        <w:t xml:space="preserve">סכין ביד קטנה </w:t>
      </w:r>
      <w:r>
        <w:rPr>
          <w:rFonts w:cs="Arial TUR" w:ascii="Arial TUR" w:hAnsi="Arial TUR"/>
          <w:rtl w:val="true"/>
        </w:rPr>
        <w:t xml:space="preserve">- </w:t>
      </w:r>
      <w:r>
        <w:rPr>
          <w:rFonts w:ascii="Arial TUR" w:hAnsi="Arial TUR" w:cs="Arial TUR"/>
          <w:rtl w:val="true"/>
        </w:rPr>
        <w:t>סכנה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סכנה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סכנה</w:t>
      </w:r>
      <w:r>
        <w:rPr>
          <w:rFonts w:cs="Arial TUR" w:ascii="Arial TUR" w:hAnsi="Arial TUR"/>
          <w:rtl w:val="true"/>
        </w:rPr>
        <w:t xml:space="preserve">" - </w:t>
      </w:r>
      <w:r>
        <w:rPr>
          <w:rFonts w:ascii="Arial TUR" w:hAnsi="Arial TUR" w:cs="Arial TUR"/>
          <w:rtl w:val="true"/>
        </w:rPr>
        <w:t xml:space="preserve">לא כל שכן ביד </w:t>
      </w:r>
      <w:r>
        <w:rPr>
          <w:rFonts w:cs="Arial TUR" w:ascii="Arial TUR" w:hAnsi="Arial TUR"/>
          <w:rtl w:val="true"/>
        </w:rPr>
        <w:t>"</w:t>
      </w:r>
      <w:r>
        <w:rPr>
          <w:rFonts w:ascii="Arial TUR" w:hAnsi="Arial TUR" w:cs="Arial TUR"/>
          <w:rtl w:val="true"/>
        </w:rPr>
        <w:t>גדולה</w:t>
      </w:r>
      <w:r>
        <w:rPr>
          <w:rFonts w:cs="Arial TUR" w:ascii="Arial TUR" w:hAnsi="Arial TUR"/>
          <w:rtl w:val="true"/>
        </w:rPr>
        <w:t xml:space="preserve">"); </w:t>
      </w:r>
      <w:r>
        <w:rPr>
          <w:rFonts w:ascii="Arial TUR" w:hAnsi="Arial TUR" w:cs="Arial TUR"/>
          <w:rtl w:val="true"/>
        </w:rPr>
        <w:t>נשק חם מסוכן הימנו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שכן פגיעתו עלולה להיות רעה עוד יותר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ובאופן משמעותי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תוך סיכון לעוברים ושבים</w:t>
      </w:r>
      <w:r>
        <w:rPr>
          <w:rFonts w:cs="Arial TUR" w:ascii="Arial TUR" w:hAnsi="Arial TUR"/>
          <w:rtl w:val="true"/>
        </w:rPr>
        <w:t xml:space="preserve">... </w:t>
      </w:r>
      <w:r>
        <w:rPr>
          <w:rFonts w:ascii="Arial TUR" w:hAnsi="Arial TUR" w:cs="Arial TUR"/>
          <w:rtl w:val="true"/>
        </w:rPr>
        <w:t>על כן על בתי המשפט לאותת בהתמדה שאט נפש שיפוטי מעבירות בנשק על</w:t>
      </w:r>
      <w:r>
        <w:rPr>
          <w:rFonts w:cs="Arial TUR" w:ascii="Arial TUR" w:hAnsi="Arial TUR"/>
          <w:rtl w:val="true"/>
        </w:rPr>
        <w:t>-</w:t>
      </w:r>
      <w:r>
        <w:rPr>
          <w:rFonts w:ascii="Arial TUR" w:hAnsi="Arial TUR" w:cs="Arial TUR"/>
          <w:rtl w:val="true"/>
        </w:rPr>
        <w:t>ידי ענישה מחמירה</w:t>
      </w:r>
      <w:r>
        <w:rPr>
          <w:rFonts w:cs="Arial TUR" w:ascii="Arial TUR" w:hAnsi="Arial TUR"/>
          <w:rtl w:val="true"/>
        </w:rPr>
        <w:t>..".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חמורות עד מאוד</w:t>
      </w:r>
      <w:r>
        <w:rPr>
          <w:rtl w:val="true"/>
        </w:rPr>
        <w:t xml:space="preserve">. </w:t>
      </w:r>
      <w:r>
        <w:rPr>
          <w:rtl w:val="true"/>
        </w:rPr>
        <w:t>הנאשם החזיק אקדח שלא כדין</w:t>
      </w:r>
      <w:r>
        <w:rPr>
          <w:rtl w:val="true"/>
        </w:rPr>
        <w:t xml:space="preserve">, </w:t>
      </w:r>
      <w:r>
        <w:rPr>
          <w:rtl w:val="true"/>
        </w:rPr>
        <w:t>ירה בו מספר יריות בתחום ישוב לעבר רכב בו ישבו שני אנשים</w:t>
      </w:r>
      <w:r>
        <w:rPr>
          <w:rtl w:val="true"/>
        </w:rPr>
        <w:t xml:space="preserve">, </w:t>
      </w:r>
      <w:r>
        <w:rPr>
          <w:rtl w:val="true"/>
        </w:rPr>
        <w:t>אחר כך ירה</w:t>
      </w:r>
      <w:r>
        <w:rPr>
          <w:rtl w:val="true"/>
        </w:rPr>
        <w:t xml:space="preserve">, </w:t>
      </w:r>
      <w:r>
        <w:rPr>
          <w:rtl w:val="true"/>
        </w:rPr>
        <w:t>מטווח קצר</w:t>
      </w:r>
      <w:r>
        <w:rPr>
          <w:rtl w:val="true"/>
        </w:rPr>
        <w:t xml:space="preserve">, </w:t>
      </w:r>
      <w:r>
        <w:rPr>
          <w:rtl w:val="true"/>
        </w:rPr>
        <w:t>לעבר אדם נוסף שהיה מחוץ לרכב ופגע בו באגן ובירך</w:t>
      </w:r>
      <w:r>
        <w:rPr>
          <w:rtl w:val="true"/>
        </w:rPr>
        <w:t xml:space="preserve">. </w:t>
      </w:r>
      <w:r>
        <w:rPr>
          <w:rtl w:val="true"/>
        </w:rPr>
        <w:t>דעתו לא התקררה והוא חזר לרכב</w:t>
      </w:r>
      <w:r>
        <w:rPr>
          <w:rtl w:val="true"/>
        </w:rPr>
        <w:t xml:space="preserve">, </w:t>
      </w:r>
      <w:r>
        <w:rPr>
          <w:rtl w:val="true"/>
        </w:rPr>
        <w:t xml:space="preserve">פתח את דלתו וירה ממרחק קצר לעבר גופם של השניים שישבו בו ופגע בהם </w:t>
      </w:r>
      <w:r>
        <w:rPr>
          <w:rtl w:val="true"/>
        </w:rPr>
        <w:t xml:space="preserve">- </w:t>
      </w:r>
      <w:r>
        <w:rPr>
          <w:rtl w:val="true"/>
        </w:rPr>
        <w:t>באחד בראשו וברגלו ובשני ברגלו</w:t>
      </w:r>
      <w:r>
        <w:rPr>
          <w:rtl w:val="true"/>
        </w:rPr>
        <w:t xml:space="preserve">, </w:t>
      </w:r>
      <w:r>
        <w:rPr>
          <w:rtl w:val="true"/>
        </w:rPr>
        <w:t xml:space="preserve">וגרם לשלושתם פציעות שהצריכו טיפול רפואי ואישפוז למשך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ירי מטווח קצר לעבר גוף אדם ופגיעה בו</w:t>
      </w:r>
      <w:r>
        <w:rPr>
          <w:rtl w:val="true"/>
        </w:rPr>
        <w:t xml:space="preserve">, </w:t>
      </w:r>
      <w:r>
        <w:rPr>
          <w:rtl w:val="true"/>
        </w:rPr>
        <w:t>עלול לגרום לפגיעות חמורות ואף למוות</w:t>
      </w:r>
      <w:r>
        <w:rPr>
          <w:rtl w:val="true"/>
        </w:rPr>
        <w:t xml:space="preserve">. </w:t>
      </w:r>
      <w:r>
        <w:rPr>
          <w:rtl w:val="true"/>
        </w:rPr>
        <w:t>עובדה פשוטה זו ידועה לכל והיא מלמדת על היורה כאמור שחיי אדם ושלמות גופו אינם נחשבים בעיניו וסכנתו לציבור גדולה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המרחק בין תוצאה חמורה ביותר ואף קטלנית לתוצאה שהתרחשה בפועל</w:t>
      </w:r>
      <w:r>
        <w:rPr>
          <w:rtl w:val="true"/>
        </w:rPr>
        <w:t xml:space="preserve">, </w:t>
      </w:r>
      <w:r>
        <w:rPr>
          <w:rtl w:val="true"/>
        </w:rPr>
        <w:t>הוא של כחוט השערה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לנאשם עבר פלילי מסוים</w:t>
      </w:r>
      <w:r>
        <w:rPr>
          <w:rtl w:val="true"/>
        </w:rPr>
        <w:t xml:space="preserve">, </w:t>
      </w:r>
      <w:r>
        <w:rPr>
          <w:rtl w:val="true"/>
        </w:rPr>
        <w:t>ישן יחסית</w:t>
      </w:r>
      <w:r>
        <w:rPr>
          <w:rtl w:val="true"/>
        </w:rPr>
        <w:t xml:space="preserve">, </w:t>
      </w:r>
      <w:r>
        <w:rPr>
          <w:rtl w:val="true"/>
        </w:rPr>
        <w:t>הכולל עבירה של שימוש במסמך מזויף ועבירה של 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>שאינני נותן לו משקל לעניין העונש 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אחיו של הנאשם</w:t>
      </w:r>
      <w:r>
        <w:rPr>
          <w:rtl w:val="true"/>
        </w:rPr>
        <w:t xml:space="preserve">, </w:t>
      </w:r>
      <w:r>
        <w:rPr>
          <w:rtl w:val="true"/>
        </w:rPr>
        <w:t>נאג</w:t>
      </w:r>
      <w:r>
        <w:rPr>
          <w:rtl w:val="true"/>
        </w:rPr>
        <w:t>'</w:t>
      </w:r>
      <w:r>
        <w:rPr>
          <w:rtl w:val="true"/>
        </w:rPr>
        <w:t>י אלחמידי</w:t>
      </w:r>
      <w:r>
        <w:rPr>
          <w:rtl w:val="true"/>
        </w:rPr>
        <w:t xml:space="preserve">, </w:t>
      </w:r>
      <w:r>
        <w:rPr>
          <w:rtl w:val="true"/>
        </w:rPr>
        <w:t>צעיר בשנתיים מהנאשם</w:t>
      </w:r>
      <w:r>
        <w:rPr>
          <w:rtl w:val="true"/>
        </w:rPr>
        <w:t xml:space="preserve">, </w:t>
      </w:r>
      <w:r>
        <w:rPr>
          <w:rtl w:val="true"/>
        </w:rPr>
        <w:t>עברו נקי והוא שירת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בהתנדבות</w:t>
      </w:r>
      <w:r>
        <w:rPr>
          <w:rtl w:val="true"/>
        </w:rPr>
        <w:t xml:space="preserve">, </w:t>
      </w:r>
      <w:r>
        <w:rPr>
          <w:rtl w:val="true"/>
        </w:rPr>
        <w:t>במשך שנתיים</w:t>
      </w:r>
      <w:r>
        <w:rPr>
          <w:rtl w:val="true"/>
        </w:rPr>
        <w:t xml:space="preserve">. </w:t>
      </w:r>
      <w:r>
        <w:rPr>
          <w:rtl w:val="true"/>
        </w:rPr>
        <w:t>הוא הורשע 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8078/06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של בית משפט זה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י</w:t>
      </w:r>
      <w:r>
        <w:rPr>
          <w:rtl w:val="true"/>
        </w:rPr>
        <w:t xml:space="preserve">' </w:t>
      </w:r>
      <w:r>
        <w:rPr>
          <w:rtl w:val="true"/>
        </w:rPr>
        <w:t>צלקובניק</w:t>
      </w:r>
      <w:r>
        <w:rPr>
          <w:rtl w:val="true"/>
        </w:rPr>
        <w:t xml:space="preserve">) </w:t>
      </w:r>
      <w:r>
        <w:rPr>
          <w:rtl w:val="true"/>
        </w:rPr>
        <w:t>בהשתתפות בתקיפת יושבי הרכב – פארס ואיסמעיל</w:t>
      </w:r>
      <w:r>
        <w:rPr>
          <w:rtl w:val="true"/>
        </w:rPr>
        <w:t xml:space="preserve">, </w:t>
      </w:r>
      <w:r>
        <w:rPr>
          <w:rtl w:val="true"/>
        </w:rPr>
        <w:t>בכך שהתקרב לרכב עם הנאשם ועדנאן בכוונה לתקוף את יושביו וחסם את דרכו של איסמעיל שניסה להימלט מהרכב</w:t>
      </w:r>
      <w:r>
        <w:rPr>
          <w:rtl w:val="true"/>
        </w:rPr>
        <w:t xml:space="preserve">, </w:t>
      </w:r>
      <w:r>
        <w:rPr>
          <w:rtl w:val="true"/>
        </w:rPr>
        <w:t>לאחר שנורה ע</w:t>
      </w:r>
      <w:r>
        <w:rPr>
          <w:rtl w:val="true"/>
        </w:rPr>
        <w:t>"</w:t>
      </w:r>
      <w:r>
        <w:rPr>
          <w:rtl w:val="true"/>
        </w:rPr>
        <w:t>י הנאשם</w:t>
      </w:r>
      <w:r>
        <w:rPr>
          <w:rtl w:val="true"/>
        </w:rPr>
        <w:t xml:space="preserve">, </w:t>
      </w:r>
      <w:r>
        <w:rPr>
          <w:rtl w:val="true"/>
        </w:rPr>
        <w:t xml:space="preserve">ונדון 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ערעור שהגיש לבית המשפט העליון על חומרת ענשו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 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2404/09</w:t>
        </w:r>
      </w:hyperlink>
      <w:r>
        <w:rPr>
          <w:rtl w:val="true"/>
        </w:rPr>
        <w:t xml:space="preserve"> </w:t>
      </w:r>
      <w:r>
        <w:rPr>
          <w:rtl w:val="true"/>
        </w:rPr>
        <w:t>נאג</w:t>
      </w:r>
      <w:r>
        <w:rPr>
          <w:rtl w:val="true"/>
        </w:rPr>
        <w:t>'</w:t>
      </w:r>
      <w:r>
        <w:rPr>
          <w:rtl w:val="true"/>
        </w:rPr>
        <w:t>י אלחמידי נ</w:t>
      </w:r>
      <w:r>
        <w:rPr>
          <w:rtl w:val="true"/>
        </w:rPr>
        <w:t xml:space="preserve">' </w:t>
      </w:r>
      <w:r>
        <w:rPr>
          <w:rtl w:val="true"/>
        </w:rPr>
        <w:t>מדינ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לא יכול להיות חולק על כך שחלקו של הנאשם באירוע ומעשיו חמורים לאין ערוך מאלו של נאג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ההתרחשויות עליהן נותן הנאשם את הדין הן ממרץ </w:t>
      </w:r>
      <w:r>
        <w:rPr/>
        <w:t>2006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הוגש במרץ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התביעה התקשתה בהבאת עדיה המרכזיים לעדות ובשלב מסוים היא ביקשה מהיועץ המשפטי לממשלה לעכב את ההליכים והוא נענה לבקשה</w:t>
      </w:r>
      <w:r>
        <w:rPr>
          <w:rtl w:val="true"/>
        </w:rPr>
        <w:t xml:space="preserve">. </w:t>
      </w:r>
      <w:r>
        <w:rPr>
          <w:rtl w:val="true"/>
        </w:rPr>
        <w:t xml:space="preserve">ההליכים חודשו בסוף ינואר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לאחר איתור עדי התביעה</w:t>
      </w:r>
      <w:r>
        <w:rPr>
          <w:rtl w:val="true"/>
        </w:rPr>
        <w:t xml:space="preserve">. </w:t>
      </w:r>
      <w:r>
        <w:rPr>
          <w:rtl w:val="true"/>
        </w:rPr>
        <w:t xml:space="preserve">שמיעת הראיות החלה במרץ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 xml:space="preserve">והסתיימה בפברואר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 xml:space="preserve">סיכומי המאשימה הוגשו ביום </w:t>
      </w:r>
      <w:r>
        <w:rPr/>
        <w:t>16.03.10</w:t>
      </w:r>
      <w:r>
        <w:rPr>
          <w:rtl w:val="true"/>
        </w:rPr>
        <w:t xml:space="preserve"> </w:t>
      </w:r>
      <w:r>
        <w:rPr>
          <w:rtl w:val="true"/>
        </w:rPr>
        <w:t xml:space="preserve">וסיכומי הנאשם הוגשו ביום </w:t>
      </w:r>
      <w:r>
        <w:rPr/>
        <w:t>28.07.10</w:t>
      </w:r>
      <w:r>
        <w:rPr>
          <w:rtl w:val="true"/>
        </w:rPr>
        <w:t xml:space="preserve">. </w:t>
      </w:r>
      <w:r>
        <w:rPr>
          <w:rtl w:val="true"/>
        </w:rPr>
        <w:t xml:space="preserve">הכרעת הדין ניתנה ביום </w:t>
      </w:r>
      <w:r>
        <w:rPr/>
        <w:t>07.09.10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01.02.11</w:t>
      </w:r>
      <w:r>
        <w:rPr>
          <w:rtl w:val="true"/>
        </w:rPr>
        <w:t xml:space="preserve"> </w:t>
      </w:r>
      <w:r>
        <w:rPr>
          <w:rtl w:val="true"/>
        </w:rPr>
        <w:t>טענו הצדדים 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טענה כי הימשכות ההליכים גרמה לנאשם עינוי דין שיש לקחתו בחשבון לקולא בגזירת העונש</w:t>
      </w:r>
      <w:r>
        <w:rPr>
          <w:rtl w:val="true"/>
        </w:rPr>
        <w:t xml:space="preserve"> </w:t>
      </w:r>
      <w:r>
        <w:rPr>
          <w:rtl w:val="true"/>
        </w:rPr>
        <w:t>והפנתה לפסיקה רלוונטית</w:t>
      </w:r>
      <w:r>
        <w:rPr>
          <w:rtl w:val="true"/>
        </w:rPr>
        <w:t xml:space="preserve">. </w:t>
      </w:r>
      <w:r>
        <w:rPr>
          <w:rtl w:val="true"/>
        </w:rPr>
        <w:t>עוד טענה</w:t>
      </w:r>
      <w:r>
        <w:rPr>
          <w:rtl w:val="true"/>
        </w:rPr>
        <w:t xml:space="preserve">, </w:t>
      </w:r>
      <w:r>
        <w:rPr>
          <w:rtl w:val="true"/>
        </w:rPr>
        <w:t>כי המתלוננים הראו בהתנהגותם – הימנעותם להגיע למסירת עדות בבית המשפט</w:t>
      </w:r>
      <w:r>
        <w:rPr>
          <w:rtl w:val="true"/>
        </w:rPr>
        <w:t xml:space="preserve">, </w:t>
      </w:r>
      <w:r>
        <w:rPr>
          <w:rtl w:val="true"/>
        </w:rPr>
        <w:t>שאין להם עניין בהליך המשפטי וגם עובדה זו צריכה להשפיע לקולא על העונש שיגזר 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כתב האישום הוגש רק כשנה לאחר ההתרחשויות והמשפט עצמו ארך זמן</w:t>
      </w:r>
      <w:r>
        <w:rPr>
          <w:rtl w:val="true"/>
        </w:rPr>
        <w:t xml:space="preserve">, </w:t>
      </w:r>
      <w:r>
        <w:rPr>
          <w:rtl w:val="true"/>
        </w:rPr>
        <w:t>בעיקר  בשל הקושי להביא את עדי התביעה העיקריים לעדות בבית המשפט</w:t>
      </w:r>
      <w:r>
        <w:rPr>
          <w:rtl w:val="true"/>
        </w:rPr>
        <w:t xml:space="preserve">. </w:t>
      </w:r>
      <w:r>
        <w:rPr>
          <w:rtl w:val="true"/>
        </w:rPr>
        <w:t>בדעתי להתחשב בנתון זה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בקביעת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אינני מקבל את טענת ב</w:t>
      </w:r>
      <w:r>
        <w:rPr>
          <w:rtl w:val="true"/>
        </w:rPr>
        <w:t>"</w:t>
      </w:r>
      <w:r>
        <w:rPr>
          <w:rtl w:val="true"/>
        </w:rPr>
        <w:t>כ הנאשם כי התחמקות המתלוננים להגיע לעדות צריכה לפעול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להקלת עונשו של הנאשם</w:t>
      </w:r>
      <w:r>
        <w:rPr>
          <w:rtl w:val="true"/>
        </w:rPr>
        <w:t xml:space="preserve">. </w:t>
      </w:r>
      <w:r>
        <w:rPr>
          <w:rtl w:val="true"/>
        </w:rPr>
        <w:t>טענה ברוח זו נטענה ע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>כ הנאשם בהקשר להצדקה בהמשך ניהול המשפט כשעדי התביעה העיקריים מתחמקים מהתייצבות לעדות וקיבלה התייחסות בהכרעת 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הנאשם כבן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נשוי ואב לשמונה</w:t>
      </w:r>
      <w:r>
        <w:rPr>
          <w:rtl w:val="true"/>
        </w:rPr>
        <w:t xml:space="preserve">. </w:t>
      </w:r>
      <w:r>
        <w:rPr>
          <w:rtl w:val="true"/>
        </w:rPr>
        <w:t>הוא מפרנס את משפחתו מיגיע כפיו כרתך</w:t>
      </w:r>
      <w:r>
        <w:rPr>
          <w:rtl w:val="true"/>
        </w:rPr>
        <w:t xml:space="preserve">. </w:t>
      </w:r>
      <w:r>
        <w:rPr>
          <w:rtl w:val="true"/>
        </w:rPr>
        <w:t>מעבידיו העידו עליו כי הוא עובד חרוץ מקצועי ונאמן ואדם חיובי</w:t>
      </w:r>
      <w:r>
        <w:rPr>
          <w:rtl w:val="true"/>
        </w:rPr>
        <w:t xml:space="preserve">, </w:t>
      </w:r>
      <w:r>
        <w:rPr>
          <w:rtl w:val="true"/>
        </w:rPr>
        <w:t>שקט ומנומס</w:t>
      </w:r>
      <w:r>
        <w:rPr>
          <w:rtl w:val="true"/>
        </w:rPr>
        <w:t xml:space="preserve">. </w:t>
      </w:r>
      <w:r>
        <w:rPr>
          <w:rtl w:val="true"/>
        </w:rPr>
        <w:t>עברו הפלילי איננו מכביד ואין בו עבירות מתחום האלימות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rtl w:val="true"/>
        </w:rPr>
        <w:t>בנותני דעתי לעבירות בהן הורשע 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לנסיבותיהן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לסכנה הנובעת מהן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לפגיעה שנגרמה למתלוננים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לעונש שהושת על נאג</w:t>
      </w:r>
      <w:r>
        <w:rPr>
          <w:b/>
          <w:rtl w:val="true"/>
        </w:rPr>
        <w:t>'</w:t>
      </w:r>
      <w:r>
        <w:rPr>
          <w:b/>
          <w:b/>
          <w:rtl w:val="true"/>
        </w:rPr>
        <w:t>י אלחמידי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לנתוניו של הנאשם ולנסיבות חייו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להימשכות ההליכים ולטיעוני ב</w:t>
      </w:r>
      <w:r>
        <w:rPr>
          <w:b/>
          <w:rtl w:val="true"/>
        </w:rPr>
        <w:t>"</w:t>
      </w:r>
      <w:r>
        <w:rPr>
          <w:b/>
          <w:b/>
          <w:rtl w:val="true"/>
        </w:rPr>
        <w:t>כ הצדדים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אני דן את הנאשם לעונשים הבאים</w:t>
      </w:r>
      <w:r>
        <w:rPr>
          <w:b/>
          <w:rtl w:val="true"/>
        </w:rPr>
        <w:t>:</w:t>
      </w:r>
    </w:p>
    <w:p>
      <w:pPr>
        <w:pStyle w:val="ruller4"/>
        <w:ind w:start="720"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א</w:t>
      </w:r>
      <w:r>
        <w:rPr>
          <w:rFonts w:cs="David"/>
          <w:spacing w:val="0"/>
          <w:sz w:val="24"/>
          <w:szCs w:val="24"/>
          <w:rtl w:val="true"/>
        </w:rPr>
        <w:t>.</w:t>
        <w:tab/>
      </w:r>
      <w:r>
        <w:rPr>
          <w:rFonts w:cs="David"/>
          <w:spacing w:val="0"/>
          <w:sz w:val="24"/>
          <w:szCs w:val="24"/>
        </w:rPr>
        <w:t>5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שנות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ruller4"/>
        <w:ind w:start="720"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מיום שחרורו מהמאסר</w:t>
      </w:r>
      <w:r>
        <w:rPr>
          <w:rtl w:val="true"/>
        </w:rPr>
        <w:t xml:space="preserve">, </w:t>
      </w:r>
      <w:r>
        <w:rPr>
          <w:rtl w:val="true"/>
        </w:rPr>
        <w:t>שלא יעבור עבירה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b/>
          <w:b/>
          <w:rtl w:val="true"/>
        </w:rPr>
        <w:t>ד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 xml:space="preserve">אני מחייב הנאשם לשלם לכל אחד מהמתלוננים פיצוי בסך </w:t>
      </w:r>
      <w:r>
        <w:rPr>
          <w:b/>
        </w:rPr>
        <w:t>5000</w:t>
      </w:r>
      <w:r>
        <w:rPr>
          <w:b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Cs/>
        </w:rPr>
      </w:pPr>
      <w:r>
        <w:rPr>
          <w:bCs/>
          <w:rtl w:val="true"/>
        </w:rPr>
        <w:t xml:space="preserve">זכות ערעור תוך </w:t>
      </w:r>
      <w:r>
        <w:rPr>
          <w:bCs/>
        </w:rPr>
        <w:t>45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יום</w:t>
      </w:r>
      <w:r>
        <w:rPr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הכלל הוא כי משנאשם נידון למאסר </w:t>
      </w:r>
      <w:r>
        <w:rPr>
          <w:rFonts w:ascii="Times New Roman" w:hAnsi="Times New Roman" w:cs="Times New Roman"/>
          <w:rtl w:val="true"/>
        </w:rPr>
        <w:t>ל</w:t>
      </w:r>
      <w:r>
        <w:rPr>
          <w:rtl w:val="true"/>
        </w:rPr>
        <w:t>תקופה משמעותית</w:t>
      </w:r>
      <w:r>
        <w:rPr>
          <w:rtl w:val="true"/>
        </w:rPr>
        <w:t xml:space="preserve">, </w:t>
      </w:r>
      <w:r>
        <w:rPr>
          <w:rtl w:val="true"/>
        </w:rPr>
        <w:t>עליו להתחיל בריצויה מיד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משפט זה מתנהל מזה כ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והנאשם התייצב לכל הדיונים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 לי שניתן לעכב לזמן מה את התייצבות הנאשם לנשיאת עונשו בתנאי שיינתנו ערבויות מתאימות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יוכל להתייצב לנשיאת עונשו עד ליום </w:t>
      </w:r>
      <w:r>
        <w:rPr/>
        <w:t>06.04.11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 xml:space="preserve">בתנאי שיפקיד בקופת בית המשפט סך של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וימציא שתי ערבויות צד ג</w:t>
      </w:r>
      <w:r>
        <w:rPr>
          <w:rtl w:val="true"/>
        </w:rPr>
        <w:t xml:space="preserve">' </w:t>
      </w:r>
      <w:r>
        <w:rPr>
          <w:rtl w:val="true"/>
        </w:rPr>
        <w:t xml:space="preserve">להנחת דעת מזכיר בית המשפט כל אחת בסך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בנוסף לכך מוצא בזה צו עיכוב יציאה מן הארץ נגד הנאשם ועל הנאשם להפקיד דרכונו במזכירות 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מתיר לנאשם להפקיד את הסכום שנקבע</w:t>
      </w:r>
      <w:r>
        <w:rPr>
          <w:rtl w:val="true"/>
        </w:rPr>
        <w:t xml:space="preserve">, </w:t>
      </w:r>
      <w:r>
        <w:rPr>
          <w:rtl w:val="true"/>
        </w:rPr>
        <w:t>בקופת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עד מחר בשעה </w:t>
      </w:r>
      <w:r>
        <w:rPr/>
        <w:t>12:00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הנאשם לקיים את יתר התנאים שנקבעו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54678313-8079/07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ל</w:t>
            </w:r>
            <w:r>
              <w:rPr>
                <w:b/>
                <w:bCs/>
                <w:rtl w:val="true"/>
              </w:rPr>
              <w:t xml:space="preserve">'  </w:t>
            </w:r>
            <w:r>
              <w:rPr>
                <w:b/>
                <w:b/>
                <w:bCs/>
                <w:rtl w:val="true"/>
              </w:rPr>
              <w:t>אדר א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06/03/2011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זיוה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עובדיה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8079-07</w:t>
    </w:r>
    <w:r>
      <w:rPr>
        <w:color w:val="000000"/>
        <w:sz w:val="22"/>
        <w:szCs w:val="22"/>
        <w:rtl w:val="true"/>
      </w:rPr>
      <w:tab/>
      <w:t xml:space="preserve"> 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דרום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אלחמידי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Times New Roman" w:cs="Times New Roman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40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40.a" TargetMode="External"/><Relationship Id="rId10" Type="http://schemas.openxmlformats.org/officeDocument/2006/relationships/hyperlink" Target="http://www.nevo.co.il/case/6030667" TargetMode="External"/><Relationship Id="rId11" Type="http://schemas.openxmlformats.org/officeDocument/2006/relationships/hyperlink" Target="http://www.nevo.co.il/case/5704670" TargetMode="External"/><Relationship Id="rId12" Type="http://schemas.openxmlformats.org/officeDocument/2006/relationships/hyperlink" Target="http://www.nevo.co.il/case/2249985" TargetMode="External"/><Relationship Id="rId13" Type="http://schemas.openxmlformats.org/officeDocument/2006/relationships/hyperlink" Target="http://www.nevo.co.il/case/5831030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2016-05-03T10:55:00Z</dcterms:created>
  <dc:creator>סתיו צולר</dc:creator>
  <dc:description/>
  <cp:keywords/>
  <dc:language>en-IL</dc:language>
  <cp:lastModifiedBy>hofit</cp:lastModifiedBy>
  <dcterms:modified xsi:type="dcterms:W3CDTF">2016-05-03T10:55:00Z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 מ.י. פרקליטות מחוז דרום-פלילי;מדינת ישראל</vt:lpwstr>
  </property>
  <property fmtid="{D5CDD505-2E9C-101B-9397-08002B2CF9AE}" pid="3" name="APPELLEE">
    <vt:lpwstr>אלחמידי;ג'אבר אלחמידי</vt:lpwstr>
  </property>
  <property fmtid="{D5CDD505-2E9C-101B-9397-08002B2CF9AE}" pid="4" name="CASESLISTTMP1">
    <vt:lpwstr>6030667;5704670;2249985;5831030</vt:lpwstr>
  </property>
  <property fmtid="{D5CDD505-2E9C-101B-9397-08002B2CF9AE}" pid="5" name="CITY">
    <vt:lpwstr>ב"ש</vt:lpwstr>
  </property>
  <property fmtid="{D5CDD505-2E9C-101B-9397-08002B2CF9AE}" pid="6" name="DATE">
    <vt:lpwstr>20110306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אליהו ביתן</vt:lpwstr>
  </property>
  <property fmtid="{D5CDD505-2E9C-101B-9397-08002B2CF9AE}" pid="10" name="LAWLISTTMP1">
    <vt:lpwstr>70301/144.a;329.a.1;340.a</vt:lpwstr>
  </property>
  <property fmtid="{D5CDD505-2E9C-101B-9397-08002B2CF9AE}" pid="11" name="LAWYER">
    <vt:lpwstr>לני מונטיליו סגל;סוזי שלו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8079;8079</vt:lpwstr>
  </property>
  <property fmtid="{D5CDD505-2E9C-101B-9397-08002B2CF9AE}" pid="25" name="NEWPARTB">
    <vt:lpwstr>;</vt:lpwstr>
  </property>
  <property fmtid="{D5CDD505-2E9C-101B-9397-08002B2CF9AE}" pid="26" name="NEWPARTC">
    <vt:lpwstr>07;07</vt:lpwstr>
  </property>
  <property fmtid="{D5CDD505-2E9C-101B-9397-08002B2CF9AE}" pid="27" name="NEWPROC">
    <vt:lpwstr>תפ;תפ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8079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07 8079 8 htm</vt:lpwstr>
  </property>
  <property fmtid="{D5CDD505-2E9C-101B-9397-08002B2CF9AE}" pid="36" name="TYPE">
    <vt:lpwstr>2</vt:lpwstr>
  </property>
  <property fmtid="{D5CDD505-2E9C-101B-9397-08002B2CF9AE}" pid="37" name="TYPE_ABS_DATE">
    <vt:lpwstr>390020110306</vt:lpwstr>
  </property>
  <property fmtid="{D5CDD505-2E9C-101B-9397-08002B2CF9AE}" pid="38" name="TYPE_N_DATE">
    <vt:lpwstr>39020110306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